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7D75B" w14:textId="77777777" w:rsidR="00AB2DFA" w:rsidRPr="00BD7D7B" w:rsidRDefault="00D032FE" w:rsidP="00D8182B">
      <w:pPr>
        <w:jc w:val="center"/>
        <w:rPr>
          <w:rFonts w:ascii="Helvetica" w:hAnsi="Helvetica" w:cs="Helvetica"/>
        </w:rPr>
      </w:pPr>
      <w:r>
        <w:rPr>
          <w:noProof/>
        </w:rPr>
        <w:drawing>
          <wp:inline distT="0" distB="0" distL="0" distR="0" wp14:anchorId="18AD1F77" wp14:editId="49197D19">
            <wp:extent cx="18669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66900" cy="1733550"/>
                    </a:xfrm>
                    <a:prstGeom prst="rect">
                      <a:avLst/>
                    </a:prstGeom>
                  </pic:spPr>
                </pic:pic>
              </a:graphicData>
            </a:graphic>
          </wp:inline>
        </w:drawing>
      </w:r>
    </w:p>
    <w:p w14:paraId="727DC05B" w14:textId="66D3023D" w:rsidR="00D8182B" w:rsidRPr="00BD7D7B" w:rsidRDefault="003A4013" w:rsidP="00D8182B">
      <w:pPr>
        <w:rPr>
          <w:rFonts w:ascii="Helvetica" w:hAnsi="Helvetica" w:cs="Helvetica"/>
        </w:rPr>
      </w:pPr>
      <w:r w:rsidRPr="7706CFD1">
        <w:rPr>
          <w:rFonts w:ascii="Helvetica" w:hAnsi="Helvetica" w:cs="Helvetica"/>
        </w:rPr>
        <w:t xml:space="preserve">As an employer with more than 250 employees, </w:t>
      </w:r>
      <w:r w:rsidR="5D4B361A" w:rsidRPr="7706CFD1">
        <w:rPr>
          <w:rFonts w:ascii="Helvetica" w:hAnsi="Helvetica" w:cs="Helvetica"/>
        </w:rPr>
        <w:t xml:space="preserve">the Academy Trust is </w:t>
      </w:r>
      <w:r w:rsidR="00FA0F0B" w:rsidRPr="7706CFD1">
        <w:rPr>
          <w:rFonts w:ascii="Helvetica" w:hAnsi="Helvetica" w:cs="Helvetica"/>
        </w:rPr>
        <w:t>required by law</w:t>
      </w:r>
      <w:r w:rsidR="00D8182B" w:rsidRPr="7706CFD1">
        <w:rPr>
          <w:rFonts w:ascii="Helvetica" w:hAnsi="Helvetica" w:cs="Helvetica"/>
        </w:rPr>
        <w:t xml:space="preserve"> to </w:t>
      </w:r>
      <w:r w:rsidR="006A2C47" w:rsidRPr="7706CFD1">
        <w:rPr>
          <w:rFonts w:ascii="Helvetica" w:hAnsi="Helvetica" w:cs="Helvetica"/>
        </w:rPr>
        <w:t xml:space="preserve">submit gender pay gap data and </w:t>
      </w:r>
      <w:r w:rsidR="00D8182B" w:rsidRPr="7706CFD1">
        <w:rPr>
          <w:rFonts w:ascii="Helvetica" w:hAnsi="Helvetica" w:cs="Helvetica"/>
        </w:rPr>
        <w:t xml:space="preserve">publish </w:t>
      </w:r>
      <w:r w:rsidR="006A2C47" w:rsidRPr="7706CFD1">
        <w:rPr>
          <w:rFonts w:ascii="Helvetica" w:hAnsi="Helvetica" w:cs="Helvetica"/>
        </w:rPr>
        <w:t xml:space="preserve">figures </w:t>
      </w:r>
      <w:r w:rsidR="00D8182B" w:rsidRPr="7706CFD1">
        <w:rPr>
          <w:rFonts w:ascii="Helvetica" w:hAnsi="Helvetica" w:cs="Helvetica"/>
        </w:rPr>
        <w:t xml:space="preserve">on </w:t>
      </w:r>
      <w:r w:rsidR="00E32FFC">
        <w:rPr>
          <w:rFonts w:ascii="Helvetica" w:hAnsi="Helvetica" w:cs="Helvetica"/>
        </w:rPr>
        <w:t>its</w:t>
      </w:r>
      <w:r w:rsidR="2FB0BB29" w:rsidRPr="7706CFD1">
        <w:rPr>
          <w:rFonts w:ascii="Helvetica" w:hAnsi="Helvetica" w:cs="Helvetica"/>
        </w:rPr>
        <w:t xml:space="preserve"> </w:t>
      </w:r>
      <w:r w:rsidR="00D8182B" w:rsidRPr="7706CFD1">
        <w:rPr>
          <w:rFonts w:ascii="Helvetica" w:hAnsi="Helvetica" w:cs="Helvetica"/>
        </w:rPr>
        <w:t>website.</w:t>
      </w:r>
    </w:p>
    <w:p w14:paraId="2321B52E" w14:textId="6F597B90" w:rsidR="00FD1F2D" w:rsidRPr="00BD7D7B" w:rsidRDefault="00FD1F2D" w:rsidP="00FD1F2D">
      <w:pPr>
        <w:rPr>
          <w:rFonts w:ascii="Helvetica" w:hAnsi="Helvetica" w:cs="Helvetica"/>
          <w:b/>
        </w:rPr>
      </w:pPr>
      <w:r w:rsidRPr="00BD7D7B">
        <w:rPr>
          <w:rFonts w:ascii="Helvetica" w:hAnsi="Helvetica" w:cs="Helvetica"/>
          <w:b/>
        </w:rPr>
        <w:t>What is the gender pay gap</w:t>
      </w:r>
      <w:r w:rsidR="00730561" w:rsidRPr="00BD7D7B">
        <w:rPr>
          <w:rFonts w:ascii="Helvetica" w:hAnsi="Helvetica" w:cs="Helvetica"/>
          <w:b/>
        </w:rPr>
        <w:t xml:space="preserve"> (GPG)</w:t>
      </w:r>
      <w:r w:rsidRPr="00BD7D7B">
        <w:rPr>
          <w:rFonts w:ascii="Helvetica" w:hAnsi="Helvetica" w:cs="Helvetica"/>
          <w:b/>
        </w:rPr>
        <w:t>?</w:t>
      </w:r>
    </w:p>
    <w:p w14:paraId="5F306CBE" w14:textId="5951E859" w:rsidR="00FD1F2D" w:rsidRPr="00BD7D7B" w:rsidRDefault="00FD1F2D" w:rsidP="00FD1F2D">
      <w:pPr>
        <w:rPr>
          <w:rFonts w:ascii="Helvetica" w:hAnsi="Helvetica" w:cs="Helvetica"/>
          <w:color w:val="121212"/>
          <w:sz w:val="26"/>
          <w:szCs w:val="26"/>
          <w:shd w:val="clear" w:color="auto" w:fill="FFFFFF"/>
        </w:rPr>
      </w:pPr>
      <w:r w:rsidRPr="00BD7D7B">
        <w:rPr>
          <w:rFonts w:ascii="Helvetica" w:hAnsi="Helvetica" w:cs="Helvetica"/>
        </w:rPr>
        <w:t>The gender pay gap is the difference between the average hourly earnings of a</w:t>
      </w:r>
      <w:r w:rsidR="006A2C47" w:rsidRPr="00BD7D7B">
        <w:rPr>
          <w:rFonts w:ascii="Helvetica" w:hAnsi="Helvetica" w:cs="Helvetica"/>
        </w:rPr>
        <w:t xml:space="preserve">n organisation’s </w:t>
      </w:r>
      <w:r w:rsidRPr="00BD7D7B">
        <w:rPr>
          <w:rFonts w:ascii="Helvetica" w:hAnsi="Helvetica" w:cs="Helvetica"/>
        </w:rPr>
        <w:t>male and female employees.</w:t>
      </w:r>
      <w:r w:rsidRPr="00BD7D7B">
        <w:rPr>
          <w:rFonts w:ascii="Helvetica" w:hAnsi="Helvetica" w:cs="Helvetica"/>
          <w:color w:val="121212"/>
          <w:sz w:val="26"/>
          <w:szCs w:val="26"/>
          <w:shd w:val="clear" w:color="auto" w:fill="FFFFFF"/>
        </w:rPr>
        <w:t> </w:t>
      </w:r>
    </w:p>
    <w:p w14:paraId="5FC8965B" w14:textId="77777777" w:rsidR="00FD1F2D" w:rsidRPr="00BD7D7B" w:rsidRDefault="00FD1F2D" w:rsidP="00FD1F2D">
      <w:pPr>
        <w:rPr>
          <w:rFonts w:ascii="Helvetica" w:hAnsi="Helvetica" w:cs="Helvetica"/>
          <w:b/>
          <w:color w:val="121212"/>
          <w:shd w:val="clear" w:color="auto" w:fill="FFFFFF"/>
        </w:rPr>
      </w:pPr>
      <w:r w:rsidRPr="00BD7D7B">
        <w:rPr>
          <w:rFonts w:ascii="Helvetica" w:hAnsi="Helvetica" w:cs="Helvetica"/>
          <w:b/>
          <w:color w:val="121212"/>
          <w:shd w:val="clear" w:color="auto" w:fill="FFFFFF"/>
        </w:rPr>
        <w:t>What is the difference between the mean and the median figures?</w:t>
      </w:r>
    </w:p>
    <w:p w14:paraId="2D3CF907" w14:textId="685C98C1" w:rsidR="00FD1F2D" w:rsidRPr="00BD7D7B" w:rsidRDefault="00FD1F2D" w:rsidP="00FD1F2D">
      <w:pPr>
        <w:rPr>
          <w:rFonts w:ascii="Helvetica" w:hAnsi="Helvetica" w:cs="Helvetica"/>
          <w:color w:val="121212"/>
          <w:shd w:val="clear" w:color="auto" w:fill="FFFFFF"/>
        </w:rPr>
      </w:pPr>
      <w:r w:rsidRPr="00BD7D7B">
        <w:rPr>
          <w:rFonts w:ascii="Helvetica" w:hAnsi="Helvetica" w:cs="Helvetica"/>
          <w:color w:val="121212"/>
          <w:shd w:val="clear" w:color="auto" w:fill="FFFFFF"/>
        </w:rPr>
        <w:t>The mean is calculated by adding up all the wages of employees in a</w:t>
      </w:r>
      <w:r w:rsidR="006A2C47" w:rsidRPr="00BD7D7B">
        <w:rPr>
          <w:rFonts w:ascii="Helvetica" w:hAnsi="Helvetica" w:cs="Helvetica"/>
          <w:color w:val="121212"/>
          <w:shd w:val="clear" w:color="auto" w:fill="FFFFFF"/>
        </w:rPr>
        <w:t>n organisation</w:t>
      </w:r>
      <w:r w:rsidRPr="00BD7D7B">
        <w:rPr>
          <w:rFonts w:ascii="Helvetica" w:hAnsi="Helvetica" w:cs="Helvetica"/>
          <w:color w:val="121212"/>
          <w:shd w:val="clear" w:color="auto" w:fill="FFFFFF"/>
        </w:rPr>
        <w:t xml:space="preserve"> and dividing that figure by the number of employees.</w:t>
      </w:r>
    </w:p>
    <w:p w14:paraId="172A3E76" w14:textId="289D4B98" w:rsidR="00FD1F2D" w:rsidRPr="00BD7D7B" w:rsidRDefault="00FD1F2D" w:rsidP="00FD1F2D">
      <w:pPr>
        <w:rPr>
          <w:rFonts w:ascii="Helvetica" w:hAnsi="Helvetica" w:cs="Helvetica"/>
          <w:color w:val="121212"/>
          <w:sz w:val="26"/>
          <w:szCs w:val="26"/>
          <w:shd w:val="clear" w:color="auto" w:fill="FFFFFF"/>
        </w:rPr>
      </w:pPr>
      <w:r w:rsidRPr="00BD7D7B">
        <w:rPr>
          <w:rFonts w:ascii="Helvetica" w:hAnsi="Helvetica" w:cs="Helvetica"/>
          <w:color w:val="121212"/>
          <w:shd w:val="clear" w:color="auto" w:fill="FFFFFF"/>
        </w:rPr>
        <w:t xml:space="preserve">The median is the number that falls in the middle of a range when everyone’s wages are </w:t>
      </w:r>
      <w:r w:rsidR="00701C87" w:rsidRPr="00BD7D7B">
        <w:rPr>
          <w:rFonts w:ascii="Helvetica" w:hAnsi="Helvetica" w:cs="Helvetica"/>
          <w:color w:val="121212"/>
          <w:shd w:val="clear" w:color="auto" w:fill="FFFFFF"/>
        </w:rPr>
        <w:t>arranged</w:t>
      </w:r>
      <w:r w:rsidRPr="00BD7D7B">
        <w:rPr>
          <w:rFonts w:ascii="Helvetica" w:hAnsi="Helvetica" w:cs="Helvetica"/>
          <w:color w:val="121212"/>
          <w:shd w:val="clear" w:color="auto" w:fill="FFFFFF"/>
        </w:rPr>
        <w:t xml:space="preserve"> from the smallest to the largest.</w:t>
      </w:r>
    </w:p>
    <w:p w14:paraId="4AAB0231" w14:textId="2501811C" w:rsidR="00FD1F2D" w:rsidRPr="00BD7D7B" w:rsidRDefault="00666185" w:rsidP="00FD1F2D">
      <w:pPr>
        <w:rPr>
          <w:rFonts w:ascii="Helvetica" w:hAnsi="Helvetica" w:cs="Helvetica"/>
          <w:b/>
        </w:rPr>
      </w:pPr>
      <w:r w:rsidRPr="00BD7D7B">
        <w:rPr>
          <w:rFonts w:ascii="Helvetica" w:hAnsi="Helvetica" w:cs="Helvetica"/>
          <w:b/>
        </w:rPr>
        <w:t>Gender Pay Gap Results</w:t>
      </w:r>
    </w:p>
    <w:p w14:paraId="1D7FFD07" w14:textId="5CA5004B" w:rsidR="00FD1F2D" w:rsidRPr="00BD7D7B" w:rsidRDefault="00FD1F2D" w:rsidP="00FD1F2D">
      <w:pPr>
        <w:rPr>
          <w:rFonts w:ascii="Helvetica" w:hAnsi="Helvetica" w:cs="Helvetica"/>
        </w:rPr>
      </w:pPr>
      <w:r w:rsidRPr="7706CFD1">
        <w:rPr>
          <w:rFonts w:ascii="Helvetica" w:hAnsi="Helvetica" w:cs="Helvetica"/>
        </w:rPr>
        <w:t xml:space="preserve">We are committed to ensuring that equality and fairness is at the core of our </w:t>
      </w:r>
      <w:r w:rsidR="00982A0B" w:rsidRPr="7706CFD1">
        <w:rPr>
          <w:rFonts w:ascii="Helvetica" w:hAnsi="Helvetica" w:cs="Helvetica"/>
        </w:rPr>
        <w:t>r</w:t>
      </w:r>
      <w:r w:rsidRPr="7706CFD1">
        <w:rPr>
          <w:rFonts w:ascii="Helvetica" w:hAnsi="Helvetica" w:cs="Helvetica"/>
        </w:rPr>
        <w:t xml:space="preserve">eward </w:t>
      </w:r>
      <w:r w:rsidR="00982A0B" w:rsidRPr="7706CFD1">
        <w:rPr>
          <w:rFonts w:ascii="Helvetica" w:hAnsi="Helvetica" w:cs="Helvetica"/>
        </w:rPr>
        <w:t>s</w:t>
      </w:r>
      <w:r w:rsidRPr="7706CFD1">
        <w:rPr>
          <w:rFonts w:ascii="Helvetica" w:hAnsi="Helvetica" w:cs="Helvetica"/>
        </w:rPr>
        <w:t xml:space="preserve">ystem. We have reviewed our gender pay gap and the results are </w:t>
      </w:r>
      <w:r w:rsidR="00CE4359" w:rsidRPr="7706CFD1">
        <w:rPr>
          <w:rFonts w:ascii="Helvetica" w:hAnsi="Helvetica" w:cs="Helvetica"/>
        </w:rPr>
        <w:t>set out below.</w:t>
      </w:r>
    </w:p>
    <w:p w14:paraId="5D495E77" w14:textId="168AD320" w:rsidR="00020F04" w:rsidRPr="00BD7D7B" w:rsidRDefault="00E32FFC" w:rsidP="0028044A">
      <w:pPr>
        <w:spacing w:after="0"/>
        <w:rPr>
          <w:rFonts w:ascii="Helvetica" w:hAnsi="Helvetica" w:cs="Helvetica"/>
        </w:rPr>
      </w:pPr>
      <w:r>
        <w:rPr>
          <w:rFonts w:ascii="Helvetica" w:hAnsi="Helvetica" w:cs="Helvetica"/>
        </w:rPr>
        <w:t>T</w:t>
      </w:r>
      <w:r w:rsidR="00D8182B" w:rsidRPr="7706CFD1">
        <w:rPr>
          <w:rFonts w:ascii="Helvetica" w:hAnsi="Helvetica" w:cs="Helvetica"/>
        </w:rPr>
        <w:t xml:space="preserve">he </w:t>
      </w:r>
      <w:r w:rsidR="00020F04" w:rsidRPr="7706CFD1">
        <w:rPr>
          <w:rFonts w:ascii="Helvetica" w:hAnsi="Helvetica" w:cs="Helvetica"/>
        </w:rPr>
        <w:t>King Edward VI Academy Trust Birmingham</w:t>
      </w:r>
      <w:r w:rsidR="000372B2" w:rsidRPr="7706CFD1">
        <w:rPr>
          <w:rFonts w:ascii="Helvetica" w:hAnsi="Helvetica" w:cs="Helvetica"/>
        </w:rPr>
        <w:t xml:space="preserve"> </w:t>
      </w:r>
      <w:r w:rsidR="00590C1F" w:rsidRPr="7706CFD1">
        <w:rPr>
          <w:rFonts w:ascii="Helvetica" w:hAnsi="Helvetica" w:cs="Helvetica"/>
        </w:rPr>
        <w:t xml:space="preserve">is </w:t>
      </w:r>
      <w:r w:rsidR="004855A5" w:rsidRPr="7706CFD1">
        <w:rPr>
          <w:rFonts w:ascii="Helvetica" w:hAnsi="Helvetica" w:cs="Helvetica"/>
        </w:rPr>
        <w:t xml:space="preserve">comprised </w:t>
      </w:r>
      <w:r w:rsidR="00D8182B" w:rsidRPr="7706CFD1">
        <w:rPr>
          <w:rFonts w:ascii="Helvetica" w:hAnsi="Helvetica" w:cs="Helvetica"/>
        </w:rPr>
        <w:t xml:space="preserve">of the </w:t>
      </w:r>
      <w:r w:rsidR="00020F04" w:rsidRPr="7706CFD1">
        <w:rPr>
          <w:rFonts w:ascii="Helvetica" w:hAnsi="Helvetica" w:cs="Helvetica"/>
        </w:rPr>
        <w:t>following schools</w:t>
      </w:r>
      <w:r w:rsidR="00BF19B5" w:rsidRPr="7706CFD1">
        <w:rPr>
          <w:rFonts w:ascii="Helvetica" w:hAnsi="Helvetica" w:cs="Helvetica"/>
        </w:rPr>
        <w:t>:</w:t>
      </w:r>
    </w:p>
    <w:tbl>
      <w:tblPr>
        <w:tblW w:w="6096" w:type="dxa"/>
        <w:tblLook w:val="04A0" w:firstRow="1" w:lastRow="0" w:firstColumn="1" w:lastColumn="0" w:noHBand="0" w:noVBand="1"/>
      </w:tblPr>
      <w:tblGrid>
        <w:gridCol w:w="4100"/>
        <w:gridCol w:w="1996"/>
      </w:tblGrid>
      <w:tr w:rsidR="00F6617C" w:rsidRPr="00BD7D7B" w14:paraId="108B2D25" w14:textId="77777777" w:rsidTr="53D72959">
        <w:trPr>
          <w:gridAfter w:val="1"/>
          <w:wAfter w:w="1996" w:type="dxa"/>
          <w:trHeight w:val="290"/>
        </w:trPr>
        <w:tc>
          <w:tcPr>
            <w:tcW w:w="4100" w:type="dxa"/>
            <w:tcBorders>
              <w:top w:val="nil"/>
              <w:left w:val="nil"/>
              <w:bottom w:val="nil"/>
              <w:right w:val="nil"/>
            </w:tcBorders>
            <w:shd w:val="clear" w:color="auto" w:fill="auto"/>
            <w:noWrap/>
            <w:vAlign w:val="bottom"/>
            <w:hideMark/>
          </w:tcPr>
          <w:p w14:paraId="7513B81D" w14:textId="0890C804" w:rsidR="00F6617C" w:rsidRPr="00BD7D7B" w:rsidRDefault="00F6617C" w:rsidP="0028044A">
            <w:pPr>
              <w:spacing w:after="0" w:line="240" w:lineRule="auto"/>
              <w:rPr>
                <w:rFonts w:ascii="Helvetica" w:eastAsia="Times New Roman" w:hAnsi="Helvetica" w:cs="Helvetica"/>
                <w:color w:val="000000"/>
                <w:lang w:eastAsia="en-GB"/>
              </w:rPr>
            </w:pPr>
          </w:p>
        </w:tc>
      </w:tr>
      <w:tr w:rsidR="00BF19B5" w:rsidRPr="00BD7D7B" w14:paraId="15D71291" w14:textId="77777777" w:rsidTr="53D72959">
        <w:trPr>
          <w:trHeight w:val="290"/>
        </w:trPr>
        <w:tc>
          <w:tcPr>
            <w:tcW w:w="6096" w:type="dxa"/>
            <w:gridSpan w:val="2"/>
            <w:tcBorders>
              <w:top w:val="nil"/>
              <w:left w:val="nil"/>
              <w:bottom w:val="nil"/>
              <w:right w:val="nil"/>
            </w:tcBorders>
            <w:shd w:val="clear" w:color="auto" w:fill="auto"/>
            <w:noWrap/>
            <w:vAlign w:val="bottom"/>
            <w:hideMark/>
          </w:tcPr>
          <w:p w14:paraId="12F0562E" w14:textId="7E1BC8FD" w:rsidR="00217E93" w:rsidRPr="00BD7D7B" w:rsidRDefault="00217E93"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 xml:space="preserve">King Edward </w:t>
            </w:r>
            <w:r w:rsidR="00523B9D" w:rsidRPr="00BD7D7B">
              <w:rPr>
                <w:rFonts w:ascii="Helvetica" w:eastAsia="Times New Roman" w:hAnsi="Helvetica" w:cs="Helvetica"/>
                <w:color w:val="000000"/>
                <w:lang w:eastAsia="en-GB"/>
              </w:rPr>
              <w:t xml:space="preserve">VI </w:t>
            </w:r>
            <w:r w:rsidRPr="00BD7D7B">
              <w:rPr>
                <w:rFonts w:ascii="Helvetica" w:eastAsia="Times New Roman" w:hAnsi="Helvetica" w:cs="Helvetica"/>
                <w:color w:val="000000"/>
                <w:lang w:eastAsia="en-GB"/>
              </w:rPr>
              <w:t xml:space="preserve">Aston </w:t>
            </w:r>
            <w:r w:rsidR="00654794" w:rsidRPr="00BD7D7B">
              <w:rPr>
                <w:rFonts w:ascii="Helvetica" w:eastAsia="Times New Roman" w:hAnsi="Helvetica" w:cs="Helvetica"/>
                <w:color w:val="000000"/>
                <w:lang w:eastAsia="en-GB"/>
              </w:rPr>
              <w:t>School</w:t>
            </w:r>
          </w:p>
          <w:p w14:paraId="3EB73773" w14:textId="1DF674EC" w:rsidR="00BF19B5" w:rsidRPr="00BD7D7B" w:rsidRDefault="00BF19B5"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King Edward VI Balaam Wood Academy</w:t>
            </w:r>
          </w:p>
        </w:tc>
      </w:tr>
      <w:tr w:rsidR="00BF19B5" w:rsidRPr="00BD7D7B" w14:paraId="71FE0015" w14:textId="77777777" w:rsidTr="53D72959">
        <w:trPr>
          <w:trHeight w:val="290"/>
        </w:trPr>
        <w:tc>
          <w:tcPr>
            <w:tcW w:w="6096" w:type="dxa"/>
            <w:gridSpan w:val="2"/>
            <w:tcBorders>
              <w:top w:val="nil"/>
              <w:left w:val="nil"/>
              <w:bottom w:val="nil"/>
              <w:right w:val="nil"/>
            </w:tcBorders>
            <w:shd w:val="clear" w:color="auto" w:fill="auto"/>
            <w:noWrap/>
            <w:vAlign w:val="bottom"/>
            <w:hideMark/>
          </w:tcPr>
          <w:p w14:paraId="76F00BB4" w14:textId="77777777" w:rsidR="00BF19B5" w:rsidRPr="00BD7D7B" w:rsidRDefault="00BF19B5"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King Edward VI Camp Hill School for Boys</w:t>
            </w:r>
          </w:p>
        </w:tc>
      </w:tr>
      <w:tr w:rsidR="00BF19B5" w:rsidRPr="00BD7D7B" w14:paraId="5BB1313A" w14:textId="77777777" w:rsidTr="53D72959">
        <w:trPr>
          <w:trHeight w:val="290"/>
        </w:trPr>
        <w:tc>
          <w:tcPr>
            <w:tcW w:w="6096" w:type="dxa"/>
            <w:gridSpan w:val="2"/>
            <w:tcBorders>
              <w:top w:val="nil"/>
              <w:left w:val="nil"/>
              <w:bottom w:val="nil"/>
              <w:right w:val="nil"/>
            </w:tcBorders>
            <w:shd w:val="clear" w:color="auto" w:fill="auto"/>
            <w:noWrap/>
            <w:vAlign w:val="bottom"/>
            <w:hideMark/>
          </w:tcPr>
          <w:p w14:paraId="38562409" w14:textId="3D91CB5A" w:rsidR="00BF19B5" w:rsidRPr="00BD7D7B" w:rsidRDefault="00BF19B5"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 xml:space="preserve">King Edward VI Camp Hill School </w:t>
            </w:r>
            <w:r w:rsidR="00654794" w:rsidRPr="00BD7D7B">
              <w:rPr>
                <w:rFonts w:ascii="Helvetica" w:eastAsia="Times New Roman" w:hAnsi="Helvetica" w:cs="Helvetica"/>
                <w:color w:val="000000"/>
                <w:lang w:eastAsia="en-GB"/>
              </w:rPr>
              <w:t xml:space="preserve">for </w:t>
            </w:r>
            <w:r w:rsidRPr="00BD7D7B">
              <w:rPr>
                <w:rFonts w:ascii="Helvetica" w:eastAsia="Times New Roman" w:hAnsi="Helvetica" w:cs="Helvetica"/>
                <w:color w:val="000000"/>
                <w:lang w:eastAsia="en-GB"/>
              </w:rPr>
              <w:t>Girls</w:t>
            </w:r>
          </w:p>
        </w:tc>
      </w:tr>
      <w:tr w:rsidR="00BF19B5" w:rsidRPr="00BD7D7B" w14:paraId="071845CA" w14:textId="77777777" w:rsidTr="53D72959">
        <w:trPr>
          <w:trHeight w:val="290"/>
        </w:trPr>
        <w:tc>
          <w:tcPr>
            <w:tcW w:w="6096" w:type="dxa"/>
            <w:gridSpan w:val="2"/>
            <w:tcBorders>
              <w:top w:val="nil"/>
              <w:left w:val="nil"/>
              <w:bottom w:val="nil"/>
              <w:right w:val="nil"/>
            </w:tcBorders>
            <w:shd w:val="clear" w:color="auto" w:fill="auto"/>
            <w:noWrap/>
            <w:vAlign w:val="bottom"/>
            <w:hideMark/>
          </w:tcPr>
          <w:p w14:paraId="37BA749C" w14:textId="77777777" w:rsidR="00BF19B5" w:rsidRPr="00BD7D7B" w:rsidRDefault="00BF19B5"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King Edward VI Five Ways School</w:t>
            </w:r>
          </w:p>
        </w:tc>
      </w:tr>
      <w:tr w:rsidR="00BF19B5" w:rsidRPr="00BD7D7B" w14:paraId="51B5F8CF" w14:textId="77777777" w:rsidTr="53D72959">
        <w:trPr>
          <w:trHeight w:val="290"/>
        </w:trPr>
        <w:tc>
          <w:tcPr>
            <w:tcW w:w="6096" w:type="dxa"/>
            <w:gridSpan w:val="2"/>
            <w:tcBorders>
              <w:top w:val="nil"/>
              <w:left w:val="nil"/>
              <w:bottom w:val="nil"/>
              <w:right w:val="nil"/>
            </w:tcBorders>
            <w:shd w:val="clear" w:color="auto" w:fill="auto"/>
            <w:noWrap/>
            <w:vAlign w:val="bottom"/>
            <w:hideMark/>
          </w:tcPr>
          <w:p w14:paraId="493A03F0" w14:textId="2AAB97F4" w:rsidR="00BF19B5" w:rsidRPr="00BD7D7B" w:rsidRDefault="00BF19B5" w:rsidP="00BF19B5">
            <w:pPr>
              <w:pStyle w:val="ListParagraph"/>
              <w:numPr>
                <w:ilvl w:val="0"/>
                <w:numId w:val="6"/>
              </w:numPr>
              <w:spacing w:after="0" w:line="240" w:lineRule="auto"/>
              <w:rPr>
                <w:rFonts w:ascii="Helvetica" w:eastAsia="Times New Roman" w:hAnsi="Helvetica" w:cs="Helvetica"/>
                <w:color w:val="000000"/>
                <w:lang w:eastAsia="en-GB"/>
              </w:rPr>
            </w:pPr>
            <w:r w:rsidRPr="53D72959">
              <w:rPr>
                <w:rFonts w:ascii="Helvetica" w:eastAsia="Times New Roman" w:hAnsi="Helvetica" w:cs="Helvetica"/>
                <w:color w:val="000000" w:themeColor="text1"/>
                <w:lang w:eastAsia="en-GB"/>
              </w:rPr>
              <w:t xml:space="preserve">King Edward VI Handsworth Grammar </w:t>
            </w:r>
            <w:r w:rsidR="00654794" w:rsidRPr="53D72959">
              <w:rPr>
                <w:rFonts w:ascii="Helvetica" w:eastAsia="Times New Roman" w:hAnsi="Helvetica" w:cs="Helvetica"/>
                <w:color w:val="000000" w:themeColor="text1"/>
                <w:lang w:eastAsia="en-GB"/>
              </w:rPr>
              <w:t>Sc</w:t>
            </w:r>
            <w:r w:rsidR="00A30402" w:rsidRPr="53D72959">
              <w:rPr>
                <w:rFonts w:ascii="Helvetica" w:eastAsia="Times New Roman" w:hAnsi="Helvetica" w:cs="Helvetica"/>
                <w:color w:val="000000" w:themeColor="text1"/>
                <w:lang w:eastAsia="en-GB"/>
              </w:rPr>
              <w:t>hool for</w:t>
            </w:r>
            <w:r w:rsidR="1D98BC38" w:rsidRPr="53D72959">
              <w:rPr>
                <w:rFonts w:ascii="Helvetica" w:eastAsia="Times New Roman" w:hAnsi="Helvetica" w:cs="Helvetica"/>
                <w:color w:val="000000" w:themeColor="text1"/>
                <w:lang w:eastAsia="en-GB"/>
              </w:rPr>
              <w:t xml:space="preserve"> </w:t>
            </w:r>
            <w:r w:rsidRPr="53D72959">
              <w:rPr>
                <w:rFonts w:ascii="Helvetica" w:eastAsia="Times New Roman" w:hAnsi="Helvetica" w:cs="Helvetica"/>
                <w:color w:val="000000" w:themeColor="text1"/>
                <w:lang w:eastAsia="en-GB"/>
              </w:rPr>
              <w:t>Boys</w:t>
            </w:r>
          </w:p>
        </w:tc>
      </w:tr>
      <w:tr w:rsidR="00BF19B5" w:rsidRPr="00BD7D7B" w14:paraId="07CA8CE2" w14:textId="77777777" w:rsidTr="53D72959">
        <w:trPr>
          <w:trHeight w:val="290"/>
        </w:trPr>
        <w:tc>
          <w:tcPr>
            <w:tcW w:w="6096" w:type="dxa"/>
            <w:gridSpan w:val="2"/>
            <w:tcBorders>
              <w:top w:val="nil"/>
              <w:left w:val="nil"/>
              <w:bottom w:val="nil"/>
              <w:right w:val="nil"/>
            </w:tcBorders>
            <w:shd w:val="clear" w:color="auto" w:fill="auto"/>
            <w:noWrap/>
            <w:vAlign w:val="bottom"/>
            <w:hideMark/>
          </w:tcPr>
          <w:p w14:paraId="6DCDA16F" w14:textId="6675FDEA" w:rsidR="00BF19B5" w:rsidRPr="00BD7D7B" w:rsidRDefault="00BF19B5"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 xml:space="preserve">King Edward VI Handsworth School </w:t>
            </w:r>
            <w:r w:rsidR="00A30402" w:rsidRPr="00BD7D7B">
              <w:rPr>
                <w:rFonts w:ascii="Helvetica" w:eastAsia="Times New Roman" w:hAnsi="Helvetica" w:cs="Helvetica"/>
                <w:color w:val="000000"/>
                <w:lang w:eastAsia="en-GB"/>
              </w:rPr>
              <w:t xml:space="preserve">for </w:t>
            </w:r>
            <w:r w:rsidRPr="00BD7D7B">
              <w:rPr>
                <w:rFonts w:ascii="Helvetica" w:eastAsia="Times New Roman" w:hAnsi="Helvetica" w:cs="Helvetica"/>
                <w:color w:val="000000"/>
                <w:lang w:eastAsia="en-GB"/>
              </w:rPr>
              <w:t>Girls</w:t>
            </w:r>
          </w:p>
          <w:p w14:paraId="72149332" w14:textId="2BC0CC9A" w:rsidR="00BF19B5" w:rsidRPr="00BD7D7B" w:rsidRDefault="00BF19B5"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King Edward VI Handsworth Wood Girls</w:t>
            </w:r>
            <w:r w:rsidR="00DE23F6" w:rsidRPr="00BD7D7B">
              <w:rPr>
                <w:rFonts w:ascii="Helvetica" w:eastAsia="Times New Roman" w:hAnsi="Helvetica" w:cs="Helvetica"/>
                <w:color w:val="000000"/>
                <w:lang w:eastAsia="en-GB"/>
              </w:rPr>
              <w:t>’</w:t>
            </w:r>
            <w:r w:rsidRPr="00BD7D7B">
              <w:rPr>
                <w:rFonts w:ascii="Helvetica" w:eastAsia="Times New Roman" w:hAnsi="Helvetica" w:cs="Helvetica"/>
                <w:color w:val="000000"/>
                <w:lang w:eastAsia="en-GB"/>
              </w:rPr>
              <w:t xml:space="preserve"> Academy</w:t>
            </w:r>
          </w:p>
          <w:p w14:paraId="1D366B73" w14:textId="1488AA3F" w:rsidR="008C6D8A" w:rsidRPr="00BD7D7B" w:rsidRDefault="008C6D8A"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 xml:space="preserve">King Edward VI </w:t>
            </w:r>
            <w:proofErr w:type="spellStart"/>
            <w:r w:rsidRPr="00BD7D7B">
              <w:rPr>
                <w:rFonts w:ascii="Helvetica" w:eastAsia="Times New Roman" w:hAnsi="Helvetica" w:cs="Helvetica"/>
                <w:color w:val="000000"/>
                <w:lang w:eastAsia="en-GB"/>
              </w:rPr>
              <w:t>Lordswood</w:t>
            </w:r>
            <w:proofErr w:type="spellEnd"/>
            <w:r w:rsidRPr="00BD7D7B">
              <w:rPr>
                <w:rFonts w:ascii="Helvetica" w:eastAsia="Times New Roman" w:hAnsi="Helvetica" w:cs="Helvetica"/>
                <w:color w:val="000000"/>
                <w:lang w:eastAsia="en-GB"/>
              </w:rPr>
              <w:t xml:space="preserve"> School for Girls</w:t>
            </w:r>
          </w:p>
          <w:p w14:paraId="4D17093F" w14:textId="471EB4CA" w:rsidR="005C4829" w:rsidRPr="00BD7D7B" w:rsidRDefault="005C4829" w:rsidP="00BF19B5">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 xml:space="preserve">King Edward VI Northfield School for Girls </w:t>
            </w:r>
          </w:p>
        </w:tc>
      </w:tr>
      <w:tr w:rsidR="00BF19B5" w:rsidRPr="00BD7D7B" w14:paraId="7F4E0010" w14:textId="77777777" w:rsidTr="53D72959">
        <w:trPr>
          <w:trHeight w:val="290"/>
        </w:trPr>
        <w:tc>
          <w:tcPr>
            <w:tcW w:w="6096" w:type="dxa"/>
            <w:gridSpan w:val="2"/>
            <w:tcBorders>
              <w:top w:val="nil"/>
              <w:left w:val="nil"/>
              <w:bottom w:val="nil"/>
              <w:right w:val="nil"/>
            </w:tcBorders>
            <w:shd w:val="clear" w:color="auto" w:fill="auto"/>
            <w:noWrap/>
            <w:vAlign w:val="bottom"/>
            <w:hideMark/>
          </w:tcPr>
          <w:p w14:paraId="1B9A6D82" w14:textId="15189957" w:rsidR="008C6D8A" w:rsidRPr="00BD7D7B" w:rsidRDefault="00BF19B5" w:rsidP="008C6D8A">
            <w:pPr>
              <w:pStyle w:val="ListParagraph"/>
              <w:numPr>
                <w:ilvl w:val="0"/>
                <w:numId w:val="6"/>
              </w:numPr>
              <w:spacing w:after="0" w:line="240" w:lineRule="auto"/>
              <w:rPr>
                <w:rFonts w:ascii="Helvetica" w:eastAsia="Times New Roman" w:hAnsi="Helvetica" w:cs="Helvetica"/>
                <w:color w:val="000000"/>
                <w:lang w:eastAsia="en-GB"/>
              </w:rPr>
            </w:pPr>
            <w:r w:rsidRPr="00BD7D7B">
              <w:rPr>
                <w:rFonts w:ascii="Helvetica" w:eastAsia="Times New Roman" w:hAnsi="Helvetica" w:cs="Helvetica"/>
                <w:color w:val="000000"/>
                <w:lang w:eastAsia="en-GB"/>
              </w:rPr>
              <w:t>King Edward VI Sheldon Heath Academy</w:t>
            </w:r>
          </w:p>
          <w:p w14:paraId="008B6929" w14:textId="46DE16F4" w:rsidR="00D61AE4" w:rsidRPr="00BD7D7B" w:rsidRDefault="00D61AE4" w:rsidP="00217E93">
            <w:pPr>
              <w:pStyle w:val="ListParagraph"/>
              <w:spacing w:after="0" w:line="240" w:lineRule="auto"/>
              <w:rPr>
                <w:rFonts w:ascii="Helvetica" w:eastAsia="Times New Roman" w:hAnsi="Helvetica" w:cs="Helvetica"/>
                <w:color w:val="000000"/>
                <w:lang w:eastAsia="en-GB"/>
              </w:rPr>
            </w:pPr>
          </w:p>
        </w:tc>
      </w:tr>
    </w:tbl>
    <w:p w14:paraId="0759ACA7" w14:textId="77777777" w:rsidR="00487849" w:rsidRPr="00BD7D7B" w:rsidRDefault="00487849" w:rsidP="0028044A">
      <w:pPr>
        <w:spacing w:after="0"/>
        <w:rPr>
          <w:rFonts w:ascii="Helvetica" w:hAnsi="Helvetica" w:cs="Helvetica"/>
        </w:rPr>
      </w:pPr>
    </w:p>
    <w:p w14:paraId="44E78F11" w14:textId="08570570" w:rsidR="00F6617C" w:rsidRPr="00BD7D7B" w:rsidRDefault="00772B5E" w:rsidP="0028044A">
      <w:pPr>
        <w:spacing w:after="0"/>
        <w:rPr>
          <w:rFonts w:ascii="Helvetica" w:hAnsi="Helvetica" w:cs="Helvetica"/>
        </w:rPr>
      </w:pPr>
      <w:r w:rsidRPr="7706CFD1">
        <w:rPr>
          <w:rFonts w:ascii="Helvetica" w:hAnsi="Helvetica" w:cs="Helvetica"/>
        </w:rPr>
        <w:t xml:space="preserve">Please note, </w:t>
      </w:r>
      <w:r w:rsidR="000C0FA9" w:rsidRPr="7706CFD1">
        <w:rPr>
          <w:rFonts w:ascii="Helvetica" w:hAnsi="Helvetica" w:cs="Helvetica"/>
        </w:rPr>
        <w:t>King</w:t>
      </w:r>
      <w:r w:rsidR="0153078A" w:rsidRPr="7706CFD1">
        <w:rPr>
          <w:rFonts w:ascii="Helvetica" w:hAnsi="Helvetica" w:cs="Helvetica"/>
        </w:rPr>
        <w:t>’</w:t>
      </w:r>
      <w:r w:rsidR="000C0FA9" w:rsidRPr="7706CFD1">
        <w:rPr>
          <w:rFonts w:ascii="Helvetica" w:hAnsi="Helvetica" w:cs="Helvetica"/>
        </w:rPr>
        <w:t>s Norton School for Boys</w:t>
      </w:r>
      <w:r w:rsidR="00EA1A72" w:rsidRPr="7706CFD1">
        <w:rPr>
          <w:rFonts w:ascii="Helvetica" w:hAnsi="Helvetica" w:cs="Helvetica"/>
        </w:rPr>
        <w:t xml:space="preserve"> </w:t>
      </w:r>
      <w:r w:rsidR="00FA0A31" w:rsidRPr="7706CFD1">
        <w:rPr>
          <w:rFonts w:ascii="Helvetica" w:hAnsi="Helvetica" w:cs="Helvetica"/>
        </w:rPr>
        <w:t>was</w:t>
      </w:r>
      <w:r w:rsidR="00EA1A72" w:rsidRPr="7706CFD1">
        <w:rPr>
          <w:rFonts w:ascii="Helvetica" w:hAnsi="Helvetica" w:cs="Helvetica"/>
        </w:rPr>
        <w:t xml:space="preserve"> not part of the Academy Trust at the time of th</w:t>
      </w:r>
      <w:r w:rsidR="00E52DBB" w:rsidRPr="7706CFD1">
        <w:rPr>
          <w:rFonts w:ascii="Helvetica" w:hAnsi="Helvetica" w:cs="Helvetica"/>
        </w:rPr>
        <w:t>is</w:t>
      </w:r>
      <w:r w:rsidR="00EA1A72" w:rsidRPr="7706CFD1">
        <w:rPr>
          <w:rFonts w:ascii="Helvetica" w:hAnsi="Helvetica" w:cs="Helvetica"/>
        </w:rPr>
        <w:t xml:space="preserve"> reporting period</w:t>
      </w:r>
      <w:r w:rsidR="008827FA" w:rsidRPr="7706CFD1">
        <w:rPr>
          <w:rFonts w:ascii="Helvetica" w:hAnsi="Helvetica" w:cs="Helvetica"/>
        </w:rPr>
        <w:t>.</w:t>
      </w:r>
    </w:p>
    <w:p w14:paraId="38AF5493" w14:textId="77777777" w:rsidR="00EA1A72" w:rsidRPr="00BD7D7B" w:rsidRDefault="00EA1A72" w:rsidP="0028044A">
      <w:pPr>
        <w:spacing w:after="0"/>
        <w:rPr>
          <w:rFonts w:ascii="Helvetica" w:hAnsi="Helvetica" w:cs="Helvetica"/>
        </w:rPr>
      </w:pPr>
    </w:p>
    <w:p w14:paraId="13BAABF8" w14:textId="07D5B55B" w:rsidR="00675405" w:rsidRPr="00BD7D7B" w:rsidRDefault="00675405" w:rsidP="0028044A">
      <w:pPr>
        <w:spacing w:after="0"/>
        <w:rPr>
          <w:rFonts w:ascii="Helvetica" w:hAnsi="Helvetica" w:cs="Helvetica"/>
        </w:rPr>
      </w:pPr>
      <w:r w:rsidRPr="7706CFD1">
        <w:rPr>
          <w:rFonts w:ascii="Helvetica" w:hAnsi="Helvetica" w:cs="Helvetica"/>
        </w:rPr>
        <w:t xml:space="preserve">This report is based on a headcount of </w:t>
      </w:r>
      <w:r w:rsidR="00A720C1" w:rsidRPr="7706CFD1">
        <w:rPr>
          <w:rFonts w:ascii="Helvetica" w:hAnsi="Helvetica" w:cs="Helvetica"/>
        </w:rPr>
        <w:t>1</w:t>
      </w:r>
      <w:r w:rsidR="00491A5D" w:rsidRPr="7706CFD1">
        <w:rPr>
          <w:rFonts w:ascii="Helvetica" w:hAnsi="Helvetica" w:cs="Helvetica"/>
        </w:rPr>
        <w:t>3</w:t>
      </w:r>
      <w:r w:rsidR="000C0FA9" w:rsidRPr="7706CFD1">
        <w:rPr>
          <w:rFonts w:ascii="Helvetica" w:hAnsi="Helvetica" w:cs="Helvetica"/>
        </w:rPr>
        <w:t>94</w:t>
      </w:r>
      <w:r w:rsidRPr="7706CFD1">
        <w:rPr>
          <w:rFonts w:ascii="Helvetica" w:hAnsi="Helvetica" w:cs="Helvetica"/>
        </w:rPr>
        <w:t xml:space="preserve"> employees with </w:t>
      </w:r>
      <w:r w:rsidR="000C0FA9" w:rsidRPr="7706CFD1">
        <w:rPr>
          <w:rFonts w:ascii="Helvetica" w:hAnsi="Helvetica" w:cs="Helvetica"/>
        </w:rPr>
        <w:t>965</w:t>
      </w:r>
      <w:r w:rsidR="00E83EF9" w:rsidRPr="7706CFD1">
        <w:rPr>
          <w:rFonts w:ascii="Helvetica" w:hAnsi="Helvetica" w:cs="Helvetica"/>
        </w:rPr>
        <w:t xml:space="preserve"> </w:t>
      </w:r>
      <w:r w:rsidRPr="7706CFD1">
        <w:rPr>
          <w:rFonts w:ascii="Helvetica" w:hAnsi="Helvetica" w:cs="Helvetica"/>
        </w:rPr>
        <w:t>(</w:t>
      </w:r>
      <w:r w:rsidR="003A101D" w:rsidRPr="7706CFD1">
        <w:rPr>
          <w:rFonts w:ascii="Helvetica" w:hAnsi="Helvetica" w:cs="Helvetica"/>
        </w:rPr>
        <w:t>6</w:t>
      </w:r>
      <w:r w:rsidR="000C0FA9" w:rsidRPr="7706CFD1">
        <w:rPr>
          <w:rFonts w:ascii="Helvetica" w:hAnsi="Helvetica" w:cs="Helvetica"/>
        </w:rPr>
        <w:t>9</w:t>
      </w:r>
      <w:r w:rsidRPr="7706CFD1">
        <w:rPr>
          <w:rFonts w:ascii="Helvetica" w:hAnsi="Helvetica" w:cs="Helvetica"/>
        </w:rPr>
        <w:t xml:space="preserve">%) female and </w:t>
      </w:r>
      <w:r w:rsidR="00E83EF9" w:rsidRPr="7706CFD1">
        <w:rPr>
          <w:rFonts w:ascii="Helvetica" w:hAnsi="Helvetica" w:cs="Helvetica"/>
        </w:rPr>
        <w:t>4</w:t>
      </w:r>
      <w:r w:rsidR="000C0FA9" w:rsidRPr="7706CFD1">
        <w:rPr>
          <w:rFonts w:ascii="Helvetica" w:hAnsi="Helvetica" w:cs="Helvetica"/>
        </w:rPr>
        <w:t>29</w:t>
      </w:r>
      <w:r w:rsidRPr="7706CFD1">
        <w:rPr>
          <w:rFonts w:ascii="Helvetica" w:hAnsi="Helvetica" w:cs="Helvetica"/>
        </w:rPr>
        <w:t xml:space="preserve"> (</w:t>
      </w:r>
      <w:r w:rsidR="00DE52F7" w:rsidRPr="7706CFD1">
        <w:rPr>
          <w:rFonts w:ascii="Helvetica" w:hAnsi="Helvetica" w:cs="Helvetica"/>
        </w:rPr>
        <w:t>3</w:t>
      </w:r>
      <w:r w:rsidR="000C0FA9" w:rsidRPr="7706CFD1">
        <w:rPr>
          <w:rFonts w:ascii="Helvetica" w:hAnsi="Helvetica" w:cs="Helvetica"/>
        </w:rPr>
        <w:t>1</w:t>
      </w:r>
      <w:r w:rsidRPr="7706CFD1">
        <w:rPr>
          <w:rFonts w:ascii="Helvetica" w:hAnsi="Helvetica" w:cs="Helvetica"/>
        </w:rPr>
        <w:t xml:space="preserve">%) male employees as </w:t>
      </w:r>
      <w:r w:rsidR="00EB3D76" w:rsidRPr="7706CFD1">
        <w:rPr>
          <w:rFonts w:ascii="Helvetica" w:hAnsi="Helvetica" w:cs="Helvetica"/>
        </w:rPr>
        <w:t>of</w:t>
      </w:r>
      <w:r w:rsidRPr="7706CFD1">
        <w:rPr>
          <w:rFonts w:ascii="Helvetica" w:hAnsi="Helvetica" w:cs="Helvetica"/>
        </w:rPr>
        <w:t xml:space="preserve"> </w:t>
      </w:r>
      <w:r w:rsidR="00CD6CD7" w:rsidRPr="7706CFD1">
        <w:rPr>
          <w:rFonts w:ascii="Helvetica" w:hAnsi="Helvetica" w:cs="Helvetica"/>
        </w:rPr>
        <w:t>31</w:t>
      </w:r>
      <w:r w:rsidR="00CD6CD7" w:rsidRPr="7706CFD1">
        <w:rPr>
          <w:rFonts w:ascii="Helvetica" w:hAnsi="Helvetica" w:cs="Helvetica"/>
          <w:vertAlign w:val="superscript"/>
        </w:rPr>
        <w:t>st</w:t>
      </w:r>
      <w:r w:rsidR="00CD6CD7" w:rsidRPr="7706CFD1">
        <w:rPr>
          <w:rFonts w:ascii="Helvetica" w:hAnsi="Helvetica" w:cs="Helvetica"/>
        </w:rPr>
        <w:t xml:space="preserve"> March </w:t>
      </w:r>
      <w:r w:rsidR="000C04AC" w:rsidRPr="7706CFD1">
        <w:rPr>
          <w:rFonts w:ascii="Helvetica" w:hAnsi="Helvetica" w:cs="Helvetica"/>
        </w:rPr>
        <w:t>202</w:t>
      </w:r>
      <w:r w:rsidR="000C0FA9" w:rsidRPr="7706CFD1">
        <w:rPr>
          <w:rFonts w:ascii="Helvetica" w:hAnsi="Helvetica" w:cs="Helvetica"/>
        </w:rPr>
        <w:t>3.</w:t>
      </w:r>
      <w:r w:rsidR="003A3FCA" w:rsidRPr="7706CFD1">
        <w:rPr>
          <w:rFonts w:ascii="Helvetica" w:hAnsi="Helvetica" w:cs="Helvetica"/>
        </w:rPr>
        <w:t xml:space="preserve"> </w:t>
      </w:r>
    </w:p>
    <w:p w14:paraId="24CAF885" w14:textId="19ACBAC5" w:rsidR="00CE4359" w:rsidRPr="00BD7D7B" w:rsidRDefault="00CE4359" w:rsidP="0028044A">
      <w:pPr>
        <w:spacing w:after="0"/>
        <w:rPr>
          <w:rFonts w:ascii="Helvetica" w:hAnsi="Helvetica" w:cs="Helvetica"/>
        </w:rPr>
      </w:pPr>
    </w:p>
    <w:p w14:paraId="32A5ACD7" w14:textId="0803C94C" w:rsidR="00CE4359" w:rsidRPr="00BD7D7B" w:rsidRDefault="00CE4359" w:rsidP="00CE4359">
      <w:pPr>
        <w:rPr>
          <w:rFonts w:ascii="Helvetica" w:hAnsi="Helvetica" w:cs="Helvetica"/>
        </w:rPr>
      </w:pPr>
      <w:r w:rsidRPr="7706CFD1">
        <w:rPr>
          <w:rFonts w:ascii="Helvetica" w:hAnsi="Helvetica" w:cs="Helvetica"/>
        </w:rPr>
        <w:t xml:space="preserve">The figures have been </w:t>
      </w:r>
      <w:r w:rsidR="00D67410" w:rsidRPr="7706CFD1">
        <w:rPr>
          <w:rFonts w:ascii="Helvetica" w:hAnsi="Helvetica" w:cs="Helvetica"/>
        </w:rPr>
        <w:t>based on</w:t>
      </w:r>
      <w:r w:rsidRPr="7706CFD1">
        <w:rPr>
          <w:rFonts w:ascii="Helvetica" w:hAnsi="Helvetica" w:cs="Helvetica"/>
        </w:rPr>
        <w:t xml:space="preserve"> the methodologies as outlined in the Equality Act 2010 (Gender Pay Gap Information</w:t>
      </w:r>
      <w:r w:rsidR="00730561" w:rsidRPr="7706CFD1">
        <w:rPr>
          <w:rFonts w:ascii="Helvetica" w:hAnsi="Helvetica" w:cs="Helvetica"/>
        </w:rPr>
        <w:t xml:space="preserve">) </w:t>
      </w:r>
      <w:r w:rsidRPr="7706CFD1">
        <w:rPr>
          <w:rFonts w:ascii="Helvetica" w:hAnsi="Helvetica" w:cs="Helvetica"/>
        </w:rPr>
        <w:t>Regulations 2017</w:t>
      </w:r>
      <w:r w:rsidR="00AF519E" w:rsidRPr="7706CFD1">
        <w:rPr>
          <w:rFonts w:ascii="Helvetica" w:hAnsi="Helvetica" w:cs="Helvetica"/>
        </w:rPr>
        <w:t xml:space="preserve">. </w:t>
      </w:r>
    </w:p>
    <w:p w14:paraId="40951B8F" w14:textId="77777777" w:rsidR="00CE4359" w:rsidRPr="00BD7D7B" w:rsidRDefault="00CE4359" w:rsidP="00D8182B">
      <w:pPr>
        <w:rPr>
          <w:rFonts w:ascii="Helvetica" w:hAnsi="Helvetica" w:cs="Helvetica"/>
        </w:rPr>
      </w:pPr>
    </w:p>
    <w:p w14:paraId="7E633B72" w14:textId="77777777" w:rsidR="00CE4359" w:rsidRPr="00BD7D7B" w:rsidRDefault="00CE4359" w:rsidP="00D8182B">
      <w:pPr>
        <w:rPr>
          <w:rFonts w:ascii="Helvetica" w:hAnsi="Helvetica" w:cs="Helvetica"/>
        </w:rPr>
      </w:pPr>
    </w:p>
    <w:p w14:paraId="6E0A85C4" w14:textId="77777777" w:rsidR="00CE4359" w:rsidRPr="00BD7D7B" w:rsidRDefault="00CE4359" w:rsidP="00D8182B">
      <w:pPr>
        <w:rPr>
          <w:rFonts w:ascii="Helvetica" w:hAnsi="Helvetica" w:cs="Helvetica"/>
        </w:rPr>
      </w:pPr>
    </w:p>
    <w:p w14:paraId="26FA8F88" w14:textId="4F61F8C0" w:rsidR="00CE4359" w:rsidRPr="00BD7D7B" w:rsidRDefault="00CE4359" w:rsidP="00D8182B">
      <w:pPr>
        <w:rPr>
          <w:rFonts w:ascii="Helvetica" w:hAnsi="Helvetica" w:cs="Helvetica"/>
        </w:rPr>
      </w:pPr>
    </w:p>
    <w:p w14:paraId="7C90BB1B" w14:textId="750850B3" w:rsidR="0097347D" w:rsidRPr="00BD7D7B" w:rsidRDefault="0097347D" w:rsidP="00D8182B">
      <w:pPr>
        <w:rPr>
          <w:rFonts w:ascii="Helvetica" w:hAnsi="Helvetica" w:cs="Helvetica"/>
        </w:rPr>
      </w:pPr>
      <w:r w:rsidRPr="7706CFD1">
        <w:rPr>
          <w:rFonts w:ascii="Helvetica" w:hAnsi="Helvetica" w:cs="Helvetica"/>
        </w:rPr>
        <w:t xml:space="preserve">Data Analysis </w:t>
      </w:r>
    </w:p>
    <w:p w14:paraId="7B63FDC4" w14:textId="51EBE6C8" w:rsidR="00D8182B" w:rsidRPr="00BD7D7B" w:rsidRDefault="00D8182B" w:rsidP="00D8182B">
      <w:pPr>
        <w:rPr>
          <w:rFonts w:ascii="Helvetica" w:hAnsi="Helvetica" w:cs="Helvetica"/>
        </w:rPr>
      </w:pPr>
      <w:r w:rsidRPr="7706CFD1">
        <w:rPr>
          <w:rFonts w:ascii="Helvetica" w:hAnsi="Helvetica" w:cs="Helvetica"/>
        </w:rPr>
        <w:t>The report is based</w:t>
      </w:r>
      <w:r w:rsidR="009A03A0" w:rsidRPr="7706CFD1">
        <w:rPr>
          <w:rFonts w:ascii="Helvetica" w:hAnsi="Helvetica" w:cs="Helvetica"/>
        </w:rPr>
        <w:t xml:space="preserve"> on</w:t>
      </w:r>
      <w:r w:rsidR="004B611E" w:rsidRPr="7706CFD1">
        <w:rPr>
          <w:rFonts w:ascii="Helvetica" w:hAnsi="Helvetica" w:cs="Helvetica"/>
        </w:rPr>
        <w:t xml:space="preserve"> </w:t>
      </w:r>
      <w:r w:rsidRPr="7706CFD1">
        <w:rPr>
          <w:rFonts w:ascii="Helvetica" w:hAnsi="Helvetica" w:cs="Helvetica"/>
        </w:rPr>
        <w:t xml:space="preserve">snapshot data as of </w:t>
      </w:r>
      <w:r w:rsidR="00936C50" w:rsidRPr="7706CFD1">
        <w:rPr>
          <w:rFonts w:ascii="Helvetica" w:hAnsi="Helvetica" w:cs="Helvetica"/>
        </w:rPr>
        <w:t>3</w:t>
      </w:r>
      <w:r w:rsidR="00352129" w:rsidRPr="7706CFD1">
        <w:rPr>
          <w:rFonts w:ascii="Helvetica" w:hAnsi="Helvetica" w:cs="Helvetica"/>
        </w:rPr>
        <w:t>1</w:t>
      </w:r>
      <w:r w:rsidR="00352129" w:rsidRPr="7706CFD1">
        <w:rPr>
          <w:rFonts w:ascii="Helvetica" w:hAnsi="Helvetica" w:cs="Helvetica"/>
          <w:vertAlign w:val="superscript"/>
        </w:rPr>
        <w:t>st</w:t>
      </w:r>
      <w:r w:rsidR="00352129" w:rsidRPr="7706CFD1">
        <w:rPr>
          <w:rFonts w:ascii="Helvetica" w:hAnsi="Helvetica" w:cs="Helvetica"/>
        </w:rPr>
        <w:t xml:space="preserve"> </w:t>
      </w:r>
      <w:r w:rsidR="00995927" w:rsidRPr="7706CFD1">
        <w:rPr>
          <w:rFonts w:ascii="Helvetica" w:hAnsi="Helvetica" w:cs="Helvetica"/>
        </w:rPr>
        <w:t xml:space="preserve">March </w:t>
      </w:r>
      <w:r w:rsidRPr="7706CFD1">
        <w:rPr>
          <w:rFonts w:ascii="Helvetica" w:hAnsi="Helvetica" w:cs="Helvetica"/>
        </w:rPr>
        <w:t>20</w:t>
      </w:r>
      <w:r w:rsidR="000C04AC" w:rsidRPr="7706CFD1">
        <w:rPr>
          <w:rFonts w:ascii="Helvetica" w:hAnsi="Helvetica" w:cs="Helvetica"/>
        </w:rPr>
        <w:t>2</w:t>
      </w:r>
      <w:r w:rsidR="000C0FA9" w:rsidRPr="7706CFD1">
        <w:rPr>
          <w:rFonts w:ascii="Helvetica" w:hAnsi="Helvetica" w:cs="Helvetica"/>
        </w:rPr>
        <w:t>3</w:t>
      </w:r>
      <w:r w:rsidR="00062356" w:rsidRPr="7706CFD1">
        <w:rPr>
          <w:rFonts w:ascii="Helvetica" w:hAnsi="Helvetica" w:cs="Helvetica"/>
        </w:rPr>
        <w:t xml:space="preserve"> and f</w:t>
      </w:r>
      <w:r w:rsidRPr="7706CFD1">
        <w:rPr>
          <w:rFonts w:ascii="Helvetica" w:hAnsi="Helvetica" w:cs="Helvetica"/>
        </w:rPr>
        <w:t>indings are set out below:</w:t>
      </w:r>
    </w:p>
    <w:p w14:paraId="09C32B74" w14:textId="5831651F" w:rsidR="00CE4359" w:rsidRPr="00BD7D7B" w:rsidRDefault="00D8182B" w:rsidP="00FE2F11">
      <w:pPr>
        <w:pStyle w:val="ListParagraph"/>
        <w:numPr>
          <w:ilvl w:val="0"/>
          <w:numId w:val="1"/>
        </w:numPr>
        <w:rPr>
          <w:rFonts w:ascii="Helvetica" w:hAnsi="Helvetica" w:cs="Helvetica"/>
        </w:rPr>
      </w:pPr>
      <w:r w:rsidRPr="7706CFD1">
        <w:rPr>
          <w:rFonts w:ascii="Helvetica" w:hAnsi="Helvetica" w:cs="Helvetica"/>
        </w:rPr>
        <w:t xml:space="preserve">The mean gender pay gap for the </w:t>
      </w:r>
      <w:r w:rsidR="00431DE7" w:rsidRPr="7706CFD1">
        <w:rPr>
          <w:rFonts w:ascii="Helvetica" w:hAnsi="Helvetica" w:cs="Helvetica"/>
        </w:rPr>
        <w:t xml:space="preserve">Multi Academy Trust </w:t>
      </w:r>
      <w:r w:rsidRPr="7706CFD1">
        <w:rPr>
          <w:rFonts w:ascii="Helvetica" w:hAnsi="Helvetica" w:cs="Helvetica"/>
        </w:rPr>
        <w:t>is</w:t>
      </w:r>
      <w:r w:rsidR="00E600D2" w:rsidRPr="7706CFD1">
        <w:rPr>
          <w:rFonts w:ascii="Helvetica" w:hAnsi="Helvetica" w:cs="Helvetica"/>
        </w:rPr>
        <w:t xml:space="preserve"> </w:t>
      </w:r>
      <w:r w:rsidR="00E600D2" w:rsidRPr="001052F1">
        <w:rPr>
          <w:rFonts w:ascii="Helvetica" w:hAnsi="Helvetica" w:cs="Helvetica"/>
          <w:b/>
          <w:bCs/>
        </w:rPr>
        <w:t>13.</w:t>
      </w:r>
      <w:r w:rsidR="000C0FA9" w:rsidRPr="001052F1">
        <w:rPr>
          <w:rFonts w:ascii="Helvetica" w:hAnsi="Helvetica" w:cs="Helvetica"/>
          <w:b/>
          <w:bCs/>
        </w:rPr>
        <w:t>37</w:t>
      </w:r>
      <w:r w:rsidR="00E600D2" w:rsidRPr="001052F1">
        <w:rPr>
          <w:rFonts w:ascii="Helvetica" w:hAnsi="Helvetica" w:cs="Helvetica"/>
          <w:b/>
          <w:bCs/>
        </w:rPr>
        <w:t>%</w:t>
      </w:r>
      <w:r w:rsidRPr="7706CFD1">
        <w:rPr>
          <w:rFonts w:ascii="Helvetica" w:hAnsi="Helvetica" w:cs="Helvetica"/>
        </w:rPr>
        <w:t xml:space="preserve"> </w:t>
      </w:r>
    </w:p>
    <w:p w14:paraId="1D203CC4" w14:textId="36498DFA" w:rsidR="00CE4359" w:rsidRPr="00BD7D7B" w:rsidRDefault="00D8182B" w:rsidP="00CE4359">
      <w:pPr>
        <w:pStyle w:val="ListParagraph"/>
        <w:numPr>
          <w:ilvl w:val="0"/>
          <w:numId w:val="1"/>
        </w:numPr>
        <w:rPr>
          <w:rFonts w:ascii="Helvetica" w:hAnsi="Helvetica" w:cs="Helvetica"/>
        </w:rPr>
      </w:pPr>
      <w:r w:rsidRPr="7706CFD1">
        <w:rPr>
          <w:rFonts w:ascii="Helvetica" w:hAnsi="Helvetica" w:cs="Helvetica"/>
        </w:rPr>
        <w:t xml:space="preserve">The median gender pay gap for the </w:t>
      </w:r>
      <w:r w:rsidR="00431DE7" w:rsidRPr="7706CFD1">
        <w:rPr>
          <w:rFonts w:ascii="Helvetica" w:hAnsi="Helvetica" w:cs="Helvetica"/>
        </w:rPr>
        <w:t xml:space="preserve">Multi Academy Trust </w:t>
      </w:r>
      <w:r w:rsidRPr="7706CFD1">
        <w:rPr>
          <w:rFonts w:ascii="Helvetica" w:hAnsi="Helvetica" w:cs="Helvetica"/>
        </w:rPr>
        <w:t>is</w:t>
      </w:r>
      <w:r w:rsidR="00A83F16" w:rsidRPr="7706CFD1">
        <w:rPr>
          <w:rFonts w:ascii="Helvetica" w:hAnsi="Helvetica" w:cs="Helvetica"/>
        </w:rPr>
        <w:t xml:space="preserve"> </w:t>
      </w:r>
      <w:r w:rsidR="00A83F16" w:rsidRPr="001052F1">
        <w:rPr>
          <w:rFonts w:ascii="Helvetica" w:hAnsi="Helvetica" w:cs="Helvetica"/>
          <w:b/>
          <w:bCs/>
        </w:rPr>
        <w:t>2</w:t>
      </w:r>
      <w:r w:rsidR="000C0FA9" w:rsidRPr="001052F1">
        <w:rPr>
          <w:rFonts w:ascii="Helvetica" w:hAnsi="Helvetica" w:cs="Helvetica"/>
          <w:b/>
          <w:bCs/>
        </w:rPr>
        <w:t>6.63</w:t>
      </w:r>
      <w:r w:rsidR="00690466" w:rsidRPr="001052F1">
        <w:rPr>
          <w:rFonts w:ascii="Helvetica" w:hAnsi="Helvetica" w:cs="Helvetica"/>
          <w:b/>
          <w:bCs/>
        </w:rPr>
        <w:t>%</w:t>
      </w:r>
    </w:p>
    <w:p w14:paraId="0C580593" w14:textId="77777777" w:rsidR="00CE4359" w:rsidRPr="00BD7D7B" w:rsidRDefault="00CE4359" w:rsidP="00CE4359">
      <w:pPr>
        <w:pStyle w:val="ListParagraph"/>
        <w:rPr>
          <w:rFonts w:ascii="Helvetica" w:hAnsi="Helvetica" w:cs="Helvetica"/>
        </w:rPr>
      </w:pPr>
    </w:p>
    <w:p w14:paraId="5FC3DE10" w14:textId="2859B881" w:rsidR="00CE4359" w:rsidRPr="00BD7D7B" w:rsidRDefault="00CE4359" w:rsidP="00CE4359">
      <w:pPr>
        <w:rPr>
          <w:rFonts w:ascii="Helvetica" w:hAnsi="Helvetica" w:cs="Helvetica"/>
        </w:rPr>
      </w:pPr>
      <w:r w:rsidRPr="00BD7D7B">
        <w:rPr>
          <w:rFonts w:ascii="Helvetica" w:hAnsi="Helvetica" w:cs="Helvetica"/>
        </w:rPr>
        <w:t xml:space="preserve">The </w:t>
      </w:r>
      <w:r w:rsidR="00804CE3" w:rsidRPr="00BD7D7B">
        <w:rPr>
          <w:rFonts w:ascii="Helvetica" w:hAnsi="Helvetica" w:cs="Helvetica"/>
        </w:rPr>
        <w:t>m</w:t>
      </w:r>
      <w:r w:rsidRPr="00BD7D7B">
        <w:rPr>
          <w:rFonts w:ascii="Helvetica" w:hAnsi="Helvetica" w:cs="Helvetica"/>
        </w:rPr>
        <w:t xml:space="preserve">ean </w:t>
      </w:r>
      <w:r w:rsidR="00804CE3" w:rsidRPr="00BD7D7B">
        <w:rPr>
          <w:rFonts w:ascii="Helvetica" w:hAnsi="Helvetica" w:cs="Helvetica"/>
        </w:rPr>
        <w:t>g</w:t>
      </w:r>
      <w:r w:rsidRPr="00BD7D7B">
        <w:rPr>
          <w:rFonts w:ascii="Helvetica" w:hAnsi="Helvetica" w:cs="Helvetica"/>
        </w:rPr>
        <w:t xml:space="preserve">ender </w:t>
      </w:r>
      <w:r w:rsidR="00804CE3" w:rsidRPr="00BD7D7B">
        <w:rPr>
          <w:rFonts w:ascii="Helvetica" w:hAnsi="Helvetica" w:cs="Helvetica"/>
        </w:rPr>
        <w:t>p</w:t>
      </w:r>
      <w:r w:rsidRPr="00BD7D7B">
        <w:rPr>
          <w:rFonts w:ascii="Helvetica" w:hAnsi="Helvetica" w:cs="Helvetica"/>
        </w:rPr>
        <w:t xml:space="preserve">ay </w:t>
      </w:r>
      <w:r w:rsidR="00804CE3" w:rsidRPr="00BD7D7B">
        <w:rPr>
          <w:rFonts w:ascii="Helvetica" w:hAnsi="Helvetica" w:cs="Helvetica"/>
        </w:rPr>
        <w:t>g</w:t>
      </w:r>
      <w:r w:rsidRPr="00BD7D7B">
        <w:rPr>
          <w:rFonts w:ascii="Helvetica" w:hAnsi="Helvetica" w:cs="Helvetica"/>
        </w:rPr>
        <w:t xml:space="preserve">ap for the Academy Trust of </w:t>
      </w:r>
      <w:r w:rsidR="00920B08" w:rsidRPr="00BD7D7B">
        <w:rPr>
          <w:rFonts w:ascii="Helvetica" w:hAnsi="Helvetica" w:cs="Helvetica"/>
        </w:rPr>
        <w:t>13.</w:t>
      </w:r>
      <w:r w:rsidR="007F15FE" w:rsidRPr="00BD7D7B">
        <w:rPr>
          <w:rFonts w:ascii="Helvetica" w:hAnsi="Helvetica" w:cs="Helvetica"/>
        </w:rPr>
        <w:t>4</w:t>
      </w:r>
      <w:r w:rsidRPr="00BD7D7B">
        <w:rPr>
          <w:rFonts w:ascii="Helvetica" w:hAnsi="Helvetica" w:cs="Helvetica"/>
        </w:rPr>
        <w:t xml:space="preserve">% </w:t>
      </w:r>
      <w:r w:rsidR="0075177B" w:rsidRPr="00BD7D7B">
        <w:rPr>
          <w:rFonts w:ascii="Helvetica" w:hAnsi="Helvetica" w:cs="Helvetica"/>
        </w:rPr>
        <w:t>is lower tha</w:t>
      </w:r>
      <w:r w:rsidR="00593A08" w:rsidRPr="00BD7D7B">
        <w:rPr>
          <w:rFonts w:ascii="Helvetica" w:hAnsi="Helvetica" w:cs="Helvetica"/>
        </w:rPr>
        <w:t>n</w:t>
      </w:r>
      <w:r w:rsidR="0075177B" w:rsidRPr="00BD7D7B">
        <w:rPr>
          <w:rFonts w:ascii="Helvetica" w:hAnsi="Helvetica" w:cs="Helvetica"/>
        </w:rPr>
        <w:t xml:space="preserve"> the mean gender pay gap for </w:t>
      </w:r>
      <w:r w:rsidR="00593A08" w:rsidRPr="00BD7D7B">
        <w:rPr>
          <w:rFonts w:ascii="Helvetica" w:hAnsi="Helvetica" w:cs="Helvetica"/>
        </w:rPr>
        <w:t xml:space="preserve">secondary </w:t>
      </w:r>
      <w:r w:rsidR="009479C8" w:rsidRPr="00BD7D7B">
        <w:rPr>
          <w:rFonts w:ascii="Helvetica" w:hAnsi="Helvetica" w:cs="Helvetica"/>
        </w:rPr>
        <w:t>education</w:t>
      </w:r>
      <w:r w:rsidR="009C02AC" w:rsidRPr="00BD7D7B">
        <w:rPr>
          <w:rFonts w:ascii="Helvetica" w:hAnsi="Helvetica" w:cs="Helvetica"/>
        </w:rPr>
        <w:t xml:space="preserve"> </w:t>
      </w:r>
      <w:r w:rsidR="00593A08" w:rsidRPr="00BD7D7B">
        <w:rPr>
          <w:rFonts w:ascii="Helvetica" w:hAnsi="Helvetica" w:cs="Helvetica"/>
        </w:rPr>
        <w:t>of</w:t>
      </w:r>
      <w:r w:rsidR="00432C78" w:rsidRPr="00BD7D7B">
        <w:rPr>
          <w:rFonts w:ascii="Helvetica" w:hAnsi="Helvetica" w:cs="Helvetica"/>
        </w:rPr>
        <w:t xml:space="preserve"> 14.</w:t>
      </w:r>
      <w:r w:rsidR="000C3F8E" w:rsidRPr="00BD7D7B">
        <w:rPr>
          <w:rFonts w:ascii="Helvetica" w:hAnsi="Helvetica" w:cs="Helvetica"/>
        </w:rPr>
        <w:t>3</w:t>
      </w:r>
      <w:r w:rsidR="00432C78" w:rsidRPr="00BD7D7B">
        <w:rPr>
          <w:rFonts w:ascii="Helvetica" w:hAnsi="Helvetica" w:cs="Helvetica"/>
        </w:rPr>
        <w:t>%</w:t>
      </w:r>
      <w:r w:rsidR="34C151BF" w:rsidRPr="00BD7D7B">
        <w:rPr>
          <w:rFonts w:ascii="Helvetica" w:hAnsi="Helvetica" w:cs="Helvetica"/>
        </w:rPr>
        <w:t xml:space="preserve"> </w:t>
      </w:r>
      <w:sdt>
        <w:sdtPr>
          <w:rPr>
            <w:rFonts w:ascii="Helvetica" w:hAnsi="Helvetica" w:cs="Helvetica"/>
          </w:rPr>
          <w:id w:val="-1747190936"/>
          <w:placeholder>
            <w:docPart w:val="DefaultPlaceholder_1081868574"/>
          </w:placeholder>
          <w:citation/>
        </w:sdtPr>
        <w:sdtEndPr/>
        <w:sdtContent>
          <w:r w:rsidR="000C3F8E" w:rsidRPr="00BD7D7B">
            <w:rPr>
              <w:rFonts w:ascii="Helvetica" w:hAnsi="Helvetica" w:cs="Helvetica"/>
            </w:rPr>
            <w:fldChar w:fldCharType="begin"/>
          </w:r>
          <w:r w:rsidR="000C3F8E" w:rsidRPr="00BD7D7B">
            <w:rPr>
              <w:rFonts w:ascii="Helvetica" w:hAnsi="Helvetica" w:cs="Helvetica"/>
            </w:rPr>
            <w:instrText xml:space="preserve"> CITATION ONS23 \l 2057 </w:instrText>
          </w:r>
          <w:r w:rsidR="000C3F8E" w:rsidRPr="00BD7D7B">
            <w:rPr>
              <w:rFonts w:ascii="Helvetica" w:hAnsi="Helvetica" w:cs="Helvetica"/>
            </w:rPr>
            <w:fldChar w:fldCharType="separate"/>
          </w:r>
          <w:r w:rsidR="000C3F8E" w:rsidRPr="00BD7D7B">
            <w:rPr>
              <w:rFonts w:ascii="Helvetica" w:hAnsi="Helvetica" w:cs="Helvetica"/>
              <w:noProof/>
            </w:rPr>
            <w:t xml:space="preserve"> (ONS, 2023)</w:t>
          </w:r>
          <w:r w:rsidR="000C3F8E" w:rsidRPr="00BD7D7B">
            <w:rPr>
              <w:rFonts w:ascii="Helvetica" w:hAnsi="Helvetica" w:cs="Helvetica"/>
            </w:rPr>
            <w:fldChar w:fldCharType="end"/>
          </w:r>
        </w:sdtContent>
      </w:sdt>
      <w:r w:rsidR="00BC1EFB">
        <w:rPr>
          <w:rFonts w:ascii="Helvetica" w:hAnsi="Helvetica" w:cs="Helvetica"/>
        </w:rPr>
        <w:t>.</w:t>
      </w:r>
    </w:p>
    <w:p w14:paraId="0B9E9C63" w14:textId="1B11D857" w:rsidR="00CE4359" w:rsidRPr="00BD7D7B" w:rsidRDefault="00CE4359" w:rsidP="00CE4359">
      <w:pPr>
        <w:rPr>
          <w:rFonts w:ascii="Helvetica" w:hAnsi="Helvetica" w:cs="Helvetica"/>
        </w:rPr>
      </w:pPr>
      <w:r w:rsidRPr="7706CFD1">
        <w:rPr>
          <w:rFonts w:ascii="Helvetica" w:hAnsi="Helvetica" w:cs="Helvetica"/>
        </w:rPr>
        <w:t>Data for the previous years’ gender pay gap, as a year-on-year comparison</w:t>
      </w:r>
      <w:r w:rsidR="00E52DBB" w:rsidRPr="7706CFD1">
        <w:rPr>
          <w:rFonts w:ascii="Helvetica" w:hAnsi="Helvetica" w:cs="Helvetica"/>
        </w:rPr>
        <w:t>,</w:t>
      </w:r>
      <w:r w:rsidRPr="7706CFD1">
        <w:rPr>
          <w:rFonts w:ascii="Helvetica" w:hAnsi="Helvetica" w:cs="Helvetica"/>
        </w:rPr>
        <w:t xml:space="preserve"> is as follows:</w:t>
      </w:r>
    </w:p>
    <w:tbl>
      <w:tblPr>
        <w:tblStyle w:val="TableGrid"/>
        <w:tblW w:w="0" w:type="auto"/>
        <w:tblLook w:val="04A0" w:firstRow="1" w:lastRow="0" w:firstColumn="1" w:lastColumn="0" w:noHBand="0" w:noVBand="1"/>
      </w:tblPr>
      <w:tblGrid>
        <w:gridCol w:w="3485"/>
        <w:gridCol w:w="3485"/>
        <w:gridCol w:w="3486"/>
      </w:tblGrid>
      <w:tr w:rsidR="00CE4359" w:rsidRPr="00BD7D7B" w14:paraId="15646320" w14:textId="77777777" w:rsidTr="7706CFD1">
        <w:tc>
          <w:tcPr>
            <w:tcW w:w="3485" w:type="dxa"/>
            <w:shd w:val="clear" w:color="auto" w:fill="44546A" w:themeFill="text2"/>
          </w:tcPr>
          <w:p w14:paraId="5EE248C5" w14:textId="77777777" w:rsidR="00CE4359" w:rsidRPr="00BD7D7B" w:rsidRDefault="00CE4359" w:rsidP="000B0821">
            <w:pPr>
              <w:jc w:val="center"/>
              <w:rPr>
                <w:rFonts w:ascii="Helvetica" w:hAnsi="Helvetica" w:cs="Helvetica"/>
                <w:color w:val="FFFFFF" w:themeColor="background1"/>
              </w:rPr>
            </w:pPr>
            <w:r w:rsidRPr="00BD7D7B">
              <w:rPr>
                <w:rFonts w:ascii="Helvetica" w:hAnsi="Helvetica" w:cs="Helvetica"/>
                <w:color w:val="FFFFFF" w:themeColor="background1"/>
              </w:rPr>
              <w:t>Reporting Year</w:t>
            </w:r>
          </w:p>
        </w:tc>
        <w:tc>
          <w:tcPr>
            <w:tcW w:w="3485" w:type="dxa"/>
            <w:shd w:val="clear" w:color="auto" w:fill="44546A" w:themeFill="text2"/>
          </w:tcPr>
          <w:p w14:paraId="2A0EA05C" w14:textId="77777777" w:rsidR="00CE4359" w:rsidRPr="00BD7D7B" w:rsidRDefault="00CE4359" w:rsidP="000B0821">
            <w:pPr>
              <w:jc w:val="center"/>
              <w:rPr>
                <w:rFonts w:ascii="Helvetica" w:hAnsi="Helvetica" w:cs="Helvetica"/>
                <w:color w:val="FFFFFF" w:themeColor="background1"/>
              </w:rPr>
            </w:pPr>
            <w:r w:rsidRPr="00BD7D7B">
              <w:rPr>
                <w:rFonts w:ascii="Helvetica" w:hAnsi="Helvetica" w:cs="Helvetica"/>
                <w:color w:val="FFFFFF" w:themeColor="background1"/>
              </w:rPr>
              <w:t>Academy Trust Mean</w:t>
            </w:r>
          </w:p>
        </w:tc>
        <w:tc>
          <w:tcPr>
            <w:tcW w:w="3486" w:type="dxa"/>
            <w:shd w:val="clear" w:color="auto" w:fill="44546A" w:themeFill="text2"/>
          </w:tcPr>
          <w:p w14:paraId="0E2AA764" w14:textId="77777777" w:rsidR="00CE4359" w:rsidRPr="00BD7D7B" w:rsidRDefault="00CE4359" w:rsidP="000B0821">
            <w:pPr>
              <w:jc w:val="center"/>
              <w:rPr>
                <w:rFonts w:ascii="Helvetica" w:hAnsi="Helvetica" w:cs="Helvetica"/>
                <w:color w:val="FFFFFF" w:themeColor="background1"/>
              </w:rPr>
            </w:pPr>
            <w:r w:rsidRPr="00BD7D7B">
              <w:rPr>
                <w:rFonts w:ascii="Helvetica" w:hAnsi="Helvetica" w:cs="Helvetica"/>
                <w:color w:val="FFFFFF" w:themeColor="background1"/>
              </w:rPr>
              <w:t>Academy Trust Median</w:t>
            </w:r>
          </w:p>
        </w:tc>
      </w:tr>
      <w:tr w:rsidR="003D01B4" w:rsidRPr="00BD7D7B" w14:paraId="0D558C58" w14:textId="77777777" w:rsidTr="7706CFD1">
        <w:tc>
          <w:tcPr>
            <w:tcW w:w="3485" w:type="dxa"/>
          </w:tcPr>
          <w:p w14:paraId="4AE0305E" w14:textId="7C993DF8" w:rsidR="003D01B4" w:rsidRPr="00BD7D7B" w:rsidRDefault="00BC1EFB" w:rsidP="000B0821">
            <w:pPr>
              <w:jc w:val="center"/>
              <w:rPr>
                <w:rFonts w:ascii="Helvetica" w:hAnsi="Helvetica" w:cs="Helvetica"/>
              </w:rPr>
            </w:pPr>
            <w:r>
              <w:rPr>
                <w:rFonts w:ascii="Helvetica" w:hAnsi="Helvetica" w:cs="Helvetica"/>
              </w:rPr>
              <w:t>2023/24</w:t>
            </w:r>
          </w:p>
        </w:tc>
        <w:tc>
          <w:tcPr>
            <w:tcW w:w="3485" w:type="dxa"/>
          </w:tcPr>
          <w:p w14:paraId="15AC7173" w14:textId="52ED7444" w:rsidR="003D01B4" w:rsidRPr="00BD7D7B" w:rsidRDefault="00BC1EFB" w:rsidP="000B0821">
            <w:pPr>
              <w:jc w:val="center"/>
              <w:rPr>
                <w:rFonts w:ascii="Helvetica" w:hAnsi="Helvetica" w:cs="Helvetica"/>
              </w:rPr>
            </w:pPr>
            <w:r>
              <w:rPr>
                <w:rFonts w:ascii="Helvetica" w:hAnsi="Helvetica" w:cs="Helvetica"/>
              </w:rPr>
              <w:t>13.3%</w:t>
            </w:r>
          </w:p>
        </w:tc>
        <w:tc>
          <w:tcPr>
            <w:tcW w:w="3486" w:type="dxa"/>
          </w:tcPr>
          <w:p w14:paraId="13891775" w14:textId="2647D9F6" w:rsidR="003D01B4" w:rsidRPr="00BD7D7B" w:rsidRDefault="00BC1EFB" w:rsidP="000B0821">
            <w:pPr>
              <w:jc w:val="center"/>
              <w:rPr>
                <w:rFonts w:ascii="Helvetica" w:hAnsi="Helvetica" w:cs="Helvetica"/>
              </w:rPr>
            </w:pPr>
            <w:r>
              <w:rPr>
                <w:rFonts w:ascii="Helvetica" w:hAnsi="Helvetica" w:cs="Helvetica"/>
              </w:rPr>
              <w:t>26.6%</w:t>
            </w:r>
          </w:p>
        </w:tc>
      </w:tr>
      <w:tr w:rsidR="00BC1EFB" w:rsidRPr="00BD7D7B" w14:paraId="77B8DBFE" w14:textId="77777777" w:rsidTr="7706CFD1">
        <w:tc>
          <w:tcPr>
            <w:tcW w:w="3485" w:type="dxa"/>
          </w:tcPr>
          <w:p w14:paraId="127A3706" w14:textId="7A2D7CF9" w:rsidR="00BC1EFB" w:rsidRPr="7706CFD1" w:rsidRDefault="00BC1EFB" w:rsidP="00BC1EFB">
            <w:pPr>
              <w:jc w:val="center"/>
              <w:rPr>
                <w:rFonts w:ascii="Helvetica" w:hAnsi="Helvetica" w:cs="Helvetica"/>
              </w:rPr>
            </w:pPr>
            <w:r w:rsidRPr="7706CFD1">
              <w:rPr>
                <w:rFonts w:ascii="Helvetica" w:hAnsi="Helvetica" w:cs="Helvetica"/>
              </w:rPr>
              <w:t>2022/23</w:t>
            </w:r>
          </w:p>
        </w:tc>
        <w:tc>
          <w:tcPr>
            <w:tcW w:w="3485" w:type="dxa"/>
          </w:tcPr>
          <w:p w14:paraId="759D9121" w14:textId="3E20534B" w:rsidR="00BC1EFB" w:rsidRPr="7706CFD1" w:rsidRDefault="00BC1EFB" w:rsidP="00BC1EFB">
            <w:pPr>
              <w:jc w:val="center"/>
              <w:rPr>
                <w:rFonts w:ascii="Helvetica" w:hAnsi="Helvetica" w:cs="Helvetica"/>
              </w:rPr>
            </w:pPr>
            <w:r w:rsidRPr="7706CFD1">
              <w:rPr>
                <w:rFonts w:ascii="Helvetica" w:hAnsi="Helvetica" w:cs="Helvetica"/>
              </w:rPr>
              <w:t>13.9%</w:t>
            </w:r>
          </w:p>
        </w:tc>
        <w:tc>
          <w:tcPr>
            <w:tcW w:w="3486" w:type="dxa"/>
          </w:tcPr>
          <w:p w14:paraId="38D5A8C8" w14:textId="79284161" w:rsidR="00BC1EFB" w:rsidRPr="7706CFD1" w:rsidRDefault="00BC1EFB" w:rsidP="00BC1EFB">
            <w:pPr>
              <w:jc w:val="center"/>
              <w:rPr>
                <w:rFonts w:ascii="Helvetica" w:hAnsi="Helvetica" w:cs="Helvetica"/>
              </w:rPr>
            </w:pPr>
            <w:r w:rsidRPr="7706CFD1">
              <w:rPr>
                <w:rFonts w:ascii="Helvetica" w:hAnsi="Helvetica" w:cs="Helvetica"/>
              </w:rPr>
              <w:t>28.7%</w:t>
            </w:r>
          </w:p>
        </w:tc>
      </w:tr>
      <w:tr w:rsidR="00BC1EFB" w:rsidRPr="00BD7D7B" w14:paraId="75314D7C" w14:textId="77777777" w:rsidTr="7706CFD1">
        <w:tc>
          <w:tcPr>
            <w:tcW w:w="3485" w:type="dxa"/>
          </w:tcPr>
          <w:p w14:paraId="05890867" w14:textId="2B6F9988" w:rsidR="00BC1EFB" w:rsidRPr="00BD7D7B" w:rsidRDefault="00BC1EFB" w:rsidP="00BC1EFB">
            <w:pPr>
              <w:jc w:val="center"/>
              <w:rPr>
                <w:rFonts w:ascii="Helvetica" w:hAnsi="Helvetica" w:cs="Helvetica"/>
              </w:rPr>
            </w:pPr>
            <w:r w:rsidRPr="7706CFD1">
              <w:rPr>
                <w:rFonts w:ascii="Helvetica" w:hAnsi="Helvetica" w:cs="Helvetica"/>
              </w:rPr>
              <w:t>2021/22</w:t>
            </w:r>
          </w:p>
        </w:tc>
        <w:tc>
          <w:tcPr>
            <w:tcW w:w="3485" w:type="dxa"/>
          </w:tcPr>
          <w:p w14:paraId="75140DD0" w14:textId="6C61D853" w:rsidR="00BC1EFB" w:rsidRPr="00BD7D7B" w:rsidRDefault="00BC1EFB" w:rsidP="00BC1EFB">
            <w:pPr>
              <w:jc w:val="center"/>
              <w:rPr>
                <w:rFonts w:ascii="Helvetica" w:hAnsi="Helvetica" w:cs="Helvetica"/>
              </w:rPr>
            </w:pPr>
            <w:r w:rsidRPr="7706CFD1">
              <w:rPr>
                <w:rFonts w:ascii="Helvetica" w:hAnsi="Helvetica" w:cs="Helvetica"/>
              </w:rPr>
              <w:t>13.3%</w:t>
            </w:r>
          </w:p>
        </w:tc>
        <w:tc>
          <w:tcPr>
            <w:tcW w:w="3486" w:type="dxa"/>
          </w:tcPr>
          <w:p w14:paraId="1D62DFD2" w14:textId="35C2E86F" w:rsidR="00BC1EFB" w:rsidRPr="00BD7D7B" w:rsidRDefault="00BC1EFB" w:rsidP="00BC1EFB">
            <w:pPr>
              <w:jc w:val="center"/>
              <w:rPr>
                <w:rFonts w:ascii="Helvetica" w:hAnsi="Helvetica" w:cs="Helvetica"/>
              </w:rPr>
            </w:pPr>
            <w:r w:rsidRPr="7706CFD1">
              <w:rPr>
                <w:rFonts w:ascii="Helvetica" w:hAnsi="Helvetica" w:cs="Helvetica"/>
              </w:rPr>
              <w:t>29.6%</w:t>
            </w:r>
          </w:p>
        </w:tc>
      </w:tr>
      <w:tr w:rsidR="00BC1EFB" w:rsidRPr="00BD7D7B" w14:paraId="6848B4D5" w14:textId="77777777" w:rsidTr="7706CFD1">
        <w:tc>
          <w:tcPr>
            <w:tcW w:w="3485" w:type="dxa"/>
          </w:tcPr>
          <w:p w14:paraId="473B7427" w14:textId="77777777" w:rsidR="00BC1EFB" w:rsidRPr="00BD7D7B" w:rsidRDefault="00BC1EFB" w:rsidP="00BC1EFB">
            <w:pPr>
              <w:jc w:val="center"/>
              <w:rPr>
                <w:rFonts w:ascii="Helvetica" w:hAnsi="Helvetica" w:cs="Helvetica"/>
              </w:rPr>
            </w:pPr>
            <w:r w:rsidRPr="7706CFD1">
              <w:rPr>
                <w:rFonts w:ascii="Helvetica" w:hAnsi="Helvetica" w:cs="Helvetica"/>
              </w:rPr>
              <w:t>2020/21</w:t>
            </w:r>
          </w:p>
        </w:tc>
        <w:tc>
          <w:tcPr>
            <w:tcW w:w="3485" w:type="dxa"/>
          </w:tcPr>
          <w:p w14:paraId="4EE3D87B" w14:textId="77777777" w:rsidR="00BC1EFB" w:rsidRPr="00BD7D7B" w:rsidRDefault="00BC1EFB" w:rsidP="00BC1EFB">
            <w:pPr>
              <w:jc w:val="center"/>
              <w:rPr>
                <w:rFonts w:ascii="Helvetica" w:hAnsi="Helvetica" w:cs="Helvetica"/>
              </w:rPr>
            </w:pPr>
            <w:r w:rsidRPr="7706CFD1">
              <w:rPr>
                <w:rFonts w:ascii="Helvetica" w:hAnsi="Helvetica" w:cs="Helvetica"/>
              </w:rPr>
              <w:t>15.8%</w:t>
            </w:r>
          </w:p>
        </w:tc>
        <w:tc>
          <w:tcPr>
            <w:tcW w:w="3486" w:type="dxa"/>
          </w:tcPr>
          <w:p w14:paraId="15F4B822" w14:textId="77777777" w:rsidR="00BC1EFB" w:rsidRPr="00BD7D7B" w:rsidRDefault="00BC1EFB" w:rsidP="00BC1EFB">
            <w:pPr>
              <w:jc w:val="center"/>
              <w:rPr>
                <w:rFonts w:ascii="Helvetica" w:hAnsi="Helvetica" w:cs="Helvetica"/>
              </w:rPr>
            </w:pPr>
            <w:r w:rsidRPr="7706CFD1">
              <w:rPr>
                <w:rFonts w:ascii="Helvetica" w:hAnsi="Helvetica" w:cs="Helvetica"/>
              </w:rPr>
              <w:t>22.9%</w:t>
            </w:r>
          </w:p>
        </w:tc>
      </w:tr>
      <w:tr w:rsidR="00BC1EFB" w:rsidRPr="00BD7D7B" w14:paraId="22AB539D" w14:textId="77777777" w:rsidTr="7706CFD1">
        <w:tc>
          <w:tcPr>
            <w:tcW w:w="3485" w:type="dxa"/>
          </w:tcPr>
          <w:p w14:paraId="484E5055" w14:textId="77777777" w:rsidR="00BC1EFB" w:rsidRPr="00BD7D7B" w:rsidRDefault="00BC1EFB" w:rsidP="00BC1EFB">
            <w:pPr>
              <w:jc w:val="center"/>
              <w:rPr>
                <w:rFonts w:ascii="Helvetica" w:hAnsi="Helvetica" w:cs="Helvetica"/>
              </w:rPr>
            </w:pPr>
            <w:r w:rsidRPr="7706CFD1">
              <w:rPr>
                <w:rFonts w:ascii="Helvetica" w:hAnsi="Helvetica" w:cs="Helvetica"/>
              </w:rPr>
              <w:t>2019/20</w:t>
            </w:r>
          </w:p>
        </w:tc>
        <w:tc>
          <w:tcPr>
            <w:tcW w:w="3485" w:type="dxa"/>
          </w:tcPr>
          <w:p w14:paraId="7F6C9781" w14:textId="77777777" w:rsidR="00BC1EFB" w:rsidRPr="00BD7D7B" w:rsidRDefault="00BC1EFB" w:rsidP="00BC1EFB">
            <w:pPr>
              <w:jc w:val="center"/>
              <w:rPr>
                <w:rFonts w:ascii="Helvetica" w:hAnsi="Helvetica" w:cs="Helvetica"/>
              </w:rPr>
            </w:pPr>
            <w:r w:rsidRPr="7706CFD1">
              <w:rPr>
                <w:rFonts w:ascii="Helvetica" w:hAnsi="Helvetica" w:cs="Helvetica"/>
              </w:rPr>
              <w:t>14.3%</w:t>
            </w:r>
          </w:p>
        </w:tc>
        <w:tc>
          <w:tcPr>
            <w:tcW w:w="3486" w:type="dxa"/>
          </w:tcPr>
          <w:p w14:paraId="03FD2CC6" w14:textId="17B0389E" w:rsidR="00BC1EFB" w:rsidRPr="00BD7D7B" w:rsidRDefault="00BC1EFB" w:rsidP="00BC1EFB">
            <w:pPr>
              <w:jc w:val="center"/>
              <w:rPr>
                <w:rFonts w:ascii="Helvetica" w:hAnsi="Helvetica" w:cs="Helvetica"/>
              </w:rPr>
            </w:pPr>
            <w:r w:rsidRPr="7706CFD1">
              <w:rPr>
                <w:rFonts w:ascii="Helvetica" w:hAnsi="Helvetica" w:cs="Helvetica"/>
              </w:rPr>
              <w:t>21.7%</w:t>
            </w:r>
          </w:p>
        </w:tc>
      </w:tr>
      <w:tr w:rsidR="00BC1EFB" w:rsidRPr="00BD7D7B" w14:paraId="0FA9483B" w14:textId="77777777" w:rsidTr="7706CFD1">
        <w:tc>
          <w:tcPr>
            <w:tcW w:w="3485" w:type="dxa"/>
          </w:tcPr>
          <w:p w14:paraId="21B383E8" w14:textId="77777777" w:rsidR="00BC1EFB" w:rsidRPr="00BD7D7B" w:rsidRDefault="00BC1EFB" w:rsidP="00BC1EFB">
            <w:pPr>
              <w:jc w:val="center"/>
              <w:rPr>
                <w:rFonts w:ascii="Helvetica" w:hAnsi="Helvetica" w:cs="Helvetica"/>
              </w:rPr>
            </w:pPr>
            <w:r w:rsidRPr="7706CFD1">
              <w:rPr>
                <w:rFonts w:ascii="Helvetica" w:hAnsi="Helvetica" w:cs="Helvetica"/>
              </w:rPr>
              <w:t>2018/19</w:t>
            </w:r>
          </w:p>
        </w:tc>
        <w:tc>
          <w:tcPr>
            <w:tcW w:w="3485" w:type="dxa"/>
          </w:tcPr>
          <w:p w14:paraId="7ED814E6" w14:textId="77777777" w:rsidR="00BC1EFB" w:rsidRPr="00BD7D7B" w:rsidRDefault="00BC1EFB" w:rsidP="00BC1EFB">
            <w:pPr>
              <w:jc w:val="center"/>
              <w:rPr>
                <w:rFonts w:ascii="Helvetica" w:hAnsi="Helvetica" w:cs="Helvetica"/>
              </w:rPr>
            </w:pPr>
            <w:r w:rsidRPr="7706CFD1">
              <w:rPr>
                <w:rFonts w:ascii="Helvetica" w:hAnsi="Helvetica" w:cs="Helvetica"/>
              </w:rPr>
              <w:t>17.3%</w:t>
            </w:r>
          </w:p>
        </w:tc>
        <w:tc>
          <w:tcPr>
            <w:tcW w:w="3486" w:type="dxa"/>
          </w:tcPr>
          <w:p w14:paraId="42A6AF8B" w14:textId="77777777" w:rsidR="00BC1EFB" w:rsidRPr="00BD7D7B" w:rsidRDefault="00BC1EFB" w:rsidP="00BC1EFB">
            <w:pPr>
              <w:jc w:val="center"/>
              <w:rPr>
                <w:rFonts w:ascii="Helvetica" w:hAnsi="Helvetica" w:cs="Helvetica"/>
              </w:rPr>
            </w:pPr>
            <w:r w:rsidRPr="7706CFD1">
              <w:rPr>
                <w:rFonts w:ascii="Helvetica" w:hAnsi="Helvetica" w:cs="Helvetica"/>
              </w:rPr>
              <w:t>27.1%</w:t>
            </w:r>
          </w:p>
        </w:tc>
      </w:tr>
    </w:tbl>
    <w:p w14:paraId="6C44C603" w14:textId="77777777" w:rsidR="00CE4359" w:rsidRPr="00BD7D7B" w:rsidRDefault="00CE4359" w:rsidP="00CE4359">
      <w:pPr>
        <w:rPr>
          <w:rFonts w:ascii="Helvetica" w:hAnsi="Helvetica" w:cs="Helvetica"/>
        </w:rPr>
      </w:pPr>
    </w:p>
    <w:p w14:paraId="5744F984" w14:textId="40332FD6" w:rsidR="00814403" w:rsidRPr="00BD7D7B" w:rsidRDefault="00814403" w:rsidP="00CE4359">
      <w:pPr>
        <w:rPr>
          <w:rFonts w:ascii="Helvetica" w:hAnsi="Helvetica" w:cs="Helvetica"/>
        </w:rPr>
      </w:pPr>
      <w:r w:rsidRPr="7706CFD1">
        <w:rPr>
          <w:rFonts w:ascii="Helvetica" w:hAnsi="Helvetica" w:cs="Helvetica"/>
        </w:rPr>
        <w:t>The Academy Trust</w:t>
      </w:r>
      <w:r w:rsidR="22A1B700" w:rsidRPr="7706CFD1">
        <w:rPr>
          <w:rFonts w:ascii="Helvetica" w:hAnsi="Helvetica" w:cs="Helvetica"/>
        </w:rPr>
        <w:t>’</w:t>
      </w:r>
      <w:r w:rsidRPr="7706CFD1">
        <w:rPr>
          <w:rFonts w:ascii="Helvetica" w:hAnsi="Helvetica" w:cs="Helvetica"/>
        </w:rPr>
        <w:t xml:space="preserve">s median hourly pay for females was </w:t>
      </w:r>
      <w:r w:rsidR="00391090" w:rsidRPr="7706CFD1">
        <w:rPr>
          <w:rFonts w:ascii="Helvetica" w:hAnsi="Helvetica" w:cs="Helvetica"/>
        </w:rPr>
        <w:t>2</w:t>
      </w:r>
      <w:r w:rsidR="001C5123" w:rsidRPr="7706CFD1">
        <w:rPr>
          <w:rFonts w:ascii="Helvetica" w:hAnsi="Helvetica" w:cs="Helvetica"/>
        </w:rPr>
        <w:t>6</w:t>
      </w:r>
      <w:r w:rsidR="00391090" w:rsidRPr="7706CFD1">
        <w:rPr>
          <w:rFonts w:ascii="Helvetica" w:hAnsi="Helvetica" w:cs="Helvetica"/>
        </w:rPr>
        <w:t>.</w:t>
      </w:r>
      <w:r w:rsidR="001C5123" w:rsidRPr="7706CFD1">
        <w:rPr>
          <w:rFonts w:ascii="Helvetica" w:hAnsi="Helvetica" w:cs="Helvetica"/>
        </w:rPr>
        <w:t>6</w:t>
      </w:r>
      <w:r w:rsidR="00391090" w:rsidRPr="7706CFD1">
        <w:rPr>
          <w:rFonts w:ascii="Helvetica" w:hAnsi="Helvetica" w:cs="Helvetica"/>
        </w:rPr>
        <w:t xml:space="preserve">% lower than males.  This represents </w:t>
      </w:r>
      <w:r w:rsidR="004303AA" w:rsidRPr="7706CFD1">
        <w:rPr>
          <w:rFonts w:ascii="Helvetica" w:hAnsi="Helvetica" w:cs="Helvetica"/>
        </w:rPr>
        <w:t>a closing</w:t>
      </w:r>
      <w:r w:rsidR="00586129" w:rsidRPr="7706CFD1">
        <w:rPr>
          <w:rFonts w:ascii="Helvetica" w:hAnsi="Helvetica" w:cs="Helvetica"/>
        </w:rPr>
        <w:t xml:space="preserve"> of the median pay gap by </w:t>
      </w:r>
      <w:r w:rsidR="00AC0F62" w:rsidRPr="7706CFD1">
        <w:rPr>
          <w:rFonts w:ascii="Helvetica" w:hAnsi="Helvetica" w:cs="Helvetica"/>
        </w:rPr>
        <w:t>2</w:t>
      </w:r>
      <w:r w:rsidR="00586129" w:rsidRPr="7706CFD1">
        <w:rPr>
          <w:rFonts w:ascii="Helvetica" w:hAnsi="Helvetica" w:cs="Helvetica"/>
        </w:rPr>
        <w:t>.</w:t>
      </w:r>
      <w:r w:rsidR="00AC0F62" w:rsidRPr="7706CFD1">
        <w:rPr>
          <w:rFonts w:ascii="Helvetica" w:hAnsi="Helvetica" w:cs="Helvetica"/>
        </w:rPr>
        <w:t>1</w:t>
      </w:r>
      <w:r w:rsidR="00586129" w:rsidRPr="7706CFD1">
        <w:rPr>
          <w:rFonts w:ascii="Helvetica" w:hAnsi="Helvetica" w:cs="Helvetica"/>
        </w:rPr>
        <w:t>% compared to 202</w:t>
      </w:r>
      <w:r w:rsidR="00AC0F62" w:rsidRPr="7706CFD1">
        <w:rPr>
          <w:rFonts w:ascii="Helvetica" w:hAnsi="Helvetica" w:cs="Helvetica"/>
        </w:rPr>
        <w:t>2</w:t>
      </w:r>
      <w:r w:rsidR="00586129" w:rsidRPr="7706CFD1">
        <w:rPr>
          <w:rFonts w:ascii="Helvetica" w:hAnsi="Helvetica" w:cs="Helvetica"/>
        </w:rPr>
        <w:t xml:space="preserve">. </w:t>
      </w:r>
      <w:r w:rsidR="00974246" w:rsidRPr="7706CFD1">
        <w:rPr>
          <w:rFonts w:ascii="Helvetica" w:hAnsi="Helvetica" w:cs="Helvetica"/>
        </w:rPr>
        <w:t xml:space="preserve"> </w:t>
      </w:r>
    </w:p>
    <w:p w14:paraId="55F23430" w14:textId="29EEA343" w:rsidR="00586129" w:rsidRPr="00BD7D7B" w:rsidRDefault="00586129" w:rsidP="00CE4359">
      <w:pPr>
        <w:rPr>
          <w:rFonts w:ascii="Helvetica" w:hAnsi="Helvetica" w:cs="Helvetica"/>
        </w:rPr>
      </w:pPr>
      <w:r w:rsidRPr="7706CFD1">
        <w:rPr>
          <w:rFonts w:ascii="Helvetica" w:hAnsi="Helvetica" w:cs="Helvetica"/>
        </w:rPr>
        <w:t>The mean hourly pay for females was 13.</w:t>
      </w:r>
      <w:r w:rsidR="00062AC7" w:rsidRPr="7706CFD1">
        <w:rPr>
          <w:rFonts w:ascii="Helvetica" w:hAnsi="Helvetica" w:cs="Helvetica"/>
        </w:rPr>
        <w:t>3</w:t>
      </w:r>
      <w:r w:rsidRPr="7706CFD1">
        <w:rPr>
          <w:rFonts w:ascii="Helvetica" w:hAnsi="Helvetica" w:cs="Helvetica"/>
        </w:rPr>
        <w:t xml:space="preserve">%, </w:t>
      </w:r>
      <w:r w:rsidR="004A64AC" w:rsidRPr="7706CFD1">
        <w:rPr>
          <w:rFonts w:ascii="Helvetica" w:hAnsi="Helvetica" w:cs="Helvetica"/>
        </w:rPr>
        <w:t>lower than that of males.  This represents a 0.</w:t>
      </w:r>
      <w:r w:rsidR="0010719B" w:rsidRPr="7706CFD1">
        <w:rPr>
          <w:rFonts w:ascii="Helvetica" w:hAnsi="Helvetica" w:cs="Helvetica"/>
        </w:rPr>
        <w:t>6</w:t>
      </w:r>
      <w:r w:rsidR="004A64AC" w:rsidRPr="7706CFD1">
        <w:rPr>
          <w:rFonts w:ascii="Helvetica" w:hAnsi="Helvetica" w:cs="Helvetica"/>
        </w:rPr>
        <w:t xml:space="preserve">% </w:t>
      </w:r>
      <w:r w:rsidR="007232DE" w:rsidRPr="7706CFD1">
        <w:rPr>
          <w:rFonts w:ascii="Helvetica" w:hAnsi="Helvetica" w:cs="Helvetica"/>
        </w:rPr>
        <w:t>reduction</w:t>
      </w:r>
      <w:r w:rsidR="004A64AC" w:rsidRPr="7706CFD1">
        <w:rPr>
          <w:rFonts w:ascii="Helvetica" w:hAnsi="Helvetica" w:cs="Helvetica"/>
        </w:rPr>
        <w:t xml:space="preserve"> </w:t>
      </w:r>
      <w:r w:rsidR="00742454">
        <w:rPr>
          <w:rFonts w:ascii="Helvetica" w:hAnsi="Helvetica" w:cs="Helvetica"/>
        </w:rPr>
        <w:t>in</w:t>
      </w:r>
      <w:r w:rsidR="004A64AC" w:rsidRPr="7706CFD1">
        <w:rPr>
          <w:rFonts w:ascii="Helvetica" w:hAnsi="Helvetica" w:cs="Helvetica"/>
        </w:rPr>
        <w:t xml:space="preserve"> the gender pay gap compared to 202</w:t>
      </w:r>
      <w:r w:rsidR="007232DE" w:rsidRPr="7706CFD1">
        <w:rPr>
          <w:rFonts w:ascii="Helvetica" w:hAnsi="Helvetica" w:cs="Helvetica"/>
        </w:rPr>
        <w:t>2</w:t>
      </w:r>
      <w:r w:rsidR="004A64AC" w:rsidRPr="7706CFD1">
        <w:rPr>
          <w:rFonts w:ascii="Helvetica" w:hAnsi="Helvetica" w:cs="Helvetica"/>
        </w:rPr>
        <w:t xml:space="preserve">. </w:t>
      </w:r>
    </w:p>
    <w:p w14:paraId="256D6557" w14:textId="5EBF6126" w:rsidR="00CE4359" w:rsidRPr="00BD7D7B" w:rsidRDefault="72EC6373" w:rsidP="00CE4359">
      <w:pPr>
        <w:rPr>
          <w:rFonts w:ascii="Helvetica" w:hAnsi="Helvetica" w:cs="Helvetica"/>
        </w:rPr>
      </w:pPr>
      <w:r w:rsidRPr="7706CFD1">
        <w:rPr>
          <w:rFonts w:ascii="Helvetica" w:hAnsi="Helvetica" w:cs="Helvetica"/>
        </w:rPr>
        <w:t xml:space="preserve">The data above includes TLR and ADP payments.  As the </w:t>
      </w:r>
      <w:r w:rsidR="00CE4359" w:rsidRPr="7706CFD1">
        <w:rPr>
          <w:rFonts w:ascii="Helvetica" w:hAnsi="Helvetica" w:cs="Helvetica"/>
        </w:rPr>
        <w:t xml:space="preserve">Academy Trust continues to grow and acquire new </w:t>
      </w:r>
      <w:r w:rsidR="00AB4836" w:rsidRPr="7706CFD1">
        <w:rPr>
          <w:rFonts w:ascii="Helvetica" w:hAnsi="Helvetica" w:cs="Helvetica"/>
        </w:rPr>
        <w:t>s</w:t>
      </w:r>
      <w:r w:rsidR="00CE4359" w:rsidRPr="7706CFD1">
        <w:rPr>
          <w:rFonts w:ascii="Helvetica" w:hAnsi="Helvetica" w:cs="Helvetica"/>
        </w:rPr>
        <w:t>chools</w:t>
      </w:r>
      <w:r w:rsidR="01D4C4BB" w:rsidRPr="7706CFD1">
        <w:rPr>
          <w:rFonts w:ascii="Helvetica" w:hAnsi="Helvetica" w:cs="Helvetica"/>
        </w:rPr>
        <w:t xml:space="preserve">, </w:t>
      </w:r>
      <w:r w:rsidR="00CE4359" w:rsidRPr="7706CFD1">
        <w:rPr>
          <w:rFonts w:ascii="Helvetica" w:hAnsi="Helvetica" w:cs="Helvetica"/>
        </w:rPr>
        <w:t xml:space="preserve">the year-on-year trend </w:t>
      </w:r>
      <w:r w:rsidR="5357ACBE" w:rsidRPr="7706CFD1">
        <w:rPr>
          <w:rFonts w:ascii="Helvetica" w:hAnsi="Helvetica" w:cs="Helvetica"/>
        </w:rPr>
        <w:t xml:space="preserve">will be monitored </w:t>
      </w:r>
      <w:r w:rsidR="00CE4359" w:rsidRPr="7706CFD1">
        <w:rPr>
          <w:rFonts w:ascii="Helvetica" w:hAnsi="Helvetica" w:cs="Helvetica"/>
        </w:rPr>
        <w:t xml:space="preserve">to reflect </w:t>
      </w:r>
      <w:r w:rsidR="00AB4836" w:rsidRPr="7706CFD1">
        <w:rPr>
          <w:rFonts w:ascii="Helvetica" w:hAnsi="Helvetica" w:cs="Helvetica"/>
        </w:rPr>
        <w:t xml:space="preserve">how </w:t>
      </w:r>
      <w:r w:rsidR="00CE4359" w:rsidRPr="7706CFD1">
        <w:rPr>
          <w:rFonts w:ascii="Helvetica" w:hAnsi="Helvetica" w:cs="Helvetica"/>
        </w:rPr>
        <w:t xml:space="preserve">the increase in </w:t>
      </w:r>
      <w:r w:rsidR="00712A39" w:rsidRPr="7706CFD1">
        <w:rPr>
          <w:rFonts w:ascii="Helvetica" w:hAnsi="Helvetica" w:cs="Helvetica"/>
        </w:rPr>
        <w:t>new</w:t>
      </w:r>
      <w:r w:rsidR="009516B2" w:rsidRPr="7706CFD1">
        <w:rPr>
          <w:rFonts w:ascii="Helvetica" w:hAnsi="Helvetica" w:cs="Helvetica"/>
        </w:rPr>
        <w:t xml:space="preserve"> schools </w:t>
      </w:r>
      <w:r w:rsidR="00573559">
        <w:rPr>
          <w:rFonts w:ascii="Helvetica" w:hAnsi="Helvetica" w:cs="Helvetica"/>
        </w:rPr>
        <w:t xml:space="preserve">in </w:t>
      </w:r>
      <w:r w:rsidR="009516B2" w:rsidRPr="7706CFD1">
        <w:rPr>
          <w:rFonts w:ascii="Helvetica" w:hAnsi="Helvetica" w:cs="Helvetica"/>
        </w:rPr>
        <w:t>the Trust a</w:t>
      </w:r>
      <w:r w:rsidR="00AB4836" w:rsidRPr="7706CFD1">
        <w:rPr>
          <w:rFonts w:ascii="Helvetica" w:hAnsi="Helvetica" w:cs="Helvetica"/>
        </w:rPr>
        <w:t>ffects the overall statistics</w:t>
      </w:r>
      <w:r w:rsidR="00AF519E" w:rsidRPr="7706CFD1">
        <w:rPr>
          <w:rFonts w:ascii="Helvetica" w:hAnsi="Helvetica" w:cs="Helvetica"/>
        </w:rPr>
        <w:t xml:space="preserve">. </w:t>
      </w:r>
    </w:p>
    <w:p w14:paraId="6ABFCE73" w14:textId="3519E136" w:rsidR="002765C2" w:rsidRPr="00BD7D7B" w:rsidRDefault="002765C2" w:rsidP="002765C2">
      <w:pPr>
        <w:rPr>
          <w:rFonts w:ascii="Helvetica" w:hAnsi="Helvetica" w:cs="Helvetica"/>
        </w:rPr>
      </w:pPr>
      <w:r w:rsidRPr="7706CFD1">
        <w:rPr>
          <w:rFonts w:ascii="Helvetica" w:hAnsi="Helvetica" w:cs="Helvetica"/>
        </w:rPr>
        <w:t>The GPG figures for the Academy Trust since reporting became obligatory in 2018</w:t>
      </w:r>
      <w:r w:rsidR="00142F32" w:rsidRPr="7706CFD1">
        <w:rPr>
          <w:rFonts w:ascii="Helvetica" w:hAnsi="Helvetica" w:cs="Helvetica"/>
        </w:rPr>
        <w:t>,</w:t>
      </w:r>
      <w:r w:rsidRPr="7706CFD1">
        <w:rPr>
          <w:rFonts w:ascii="Helvetica" w:hAnsi="Helvetica" w:cs="Helvetica"/>
        </w:rPr>
        <w:t xml:space="preserve"> as set out above</w:t>
      </w:r>
      <w:r w:rsidR="00142F32" w:rsidRPr="7706CFD1">
        <w:rPr>
          <w:rFonts w:ascii="Helvetica" w:hAnsi="Helvetica" w:cs="Helvetica"/>
        </w:rPr>
        <w:t>,</w:t>
      </w:r>
      <w:r w:rsidRPr="7706CFD1">
        <w:rPr>
          <w:rFonts w:ascii="Helvetica" w:hAnsi="Helvetica" w:cs="Helvetica"/>
        </w:rPr>
        <w:t xml:space="preserve"> show that the mean hourly pay gap has decreased by </w:t>
      </w:r>
      <w:r w:rsidR="008C6D8A" w:rsidRPr="7706CFD1">
        <w:rPr>
          <w:rFonts w:ascii="Helvetica" w:hAnsi="Helvetica" w:cs="Helvetica"/>
        </w:rPr>
        <w:t>4</w:t>
      </w:r>
      <w:r w:rsidRPr="7706CFD1">
        <w:rPr>
          <w:rFonts w:ascii="Helvetica" w:hAnsi="Helvetica" w:cs="Helvetica"/>
        </w:rPr>
        <w:t xml:space="preserve">% over a period of </w:t>
      </w:r>
      <w:r w:rsidR="008C6D8A" w:rsidRPr="7706CFD1">
        <w:rPr>
          <w:rFonts w:ascii="Helvetica" w:hAnsi="Helvetica" w:cs="Helvetica"/>
        </w:rPr>
        <w:t>6</w:t>
      </w:r>
      <w:r w:rsidRPr="7706CFD1">
        <w:rPr>
          <w:rFonts w:ascii="Helvetica" w:hAnsi="Helvetica" w:cs="Helvetica"/>
        </w:rPr>
        <w:t xml:space="preserve"> years. </w:t>
      </w:r>
    </w:p>
    <w:p w14:paraId="3B84872F" w14:textId="1663471C" w:rsidR="004C0F3C" w:rsidRPr="00BD7D7B" w:rsidRDefault="004C0F3C" w:rsidP="0097347D">
      <w:pPr>
        <w:rPr>
          <w:rFonts w:ascii="Helvetica" w:hAnsi="Helvetica" w:cs="Helvetica"/>
          <w:b/>
        </w:rPr>
      </w:pPr>
      <w:r w:rsidRPr="00BD7D7B">
        <w:rPr>
          <w:rFonts w:ascii="Helvetica" w:hAnsi="Helvetica" w:cs="Helvetica"/>
          <w:b/>
        </w:rPr>
        <w:t xml:space="preserve">Pay quartile by gender as </w:t>
      </w:r>
      <w:r w:rsidR="00EB3D76" w:rsidRPr="00BD7D7B">
        <w:rPr>
          <w:rFonts w:ascii="Helvetica" w:hAnsi="Helvetica" w:cs="Helvetica"/>
          <w:b/>
        </w:rPr>
        <w:t>of</w:t>
      </w:r>
      <w:r w:rsidRPr="00BD7D7B">
        <w:rPr>
          <w:rFonts w:ascii="Helvetica" w:hAnsi="Helvetica" w:cs="Helvetica"/>
          <w:b/>
        </w:rPr>
        <w:t xml:space="preserve"> </w:t>
      </w:r>
      <w:r w:rsidR="003E79F3" w:rsidRPr="00BD7D7B">
        <w:rPr>
          <w:rFonts w:ascii="Helvetica" w:hAnsi="Helvetica" w:cs="Helvetica"/>
          <w:b/>
        </w:rPr>
        <w:t>31</w:t>
      </w:r>
      <w:r w:rsidR="003E79F3" w:rsidRPr="00BD7D7B">
        <w:rPr>
          <w:rFonts w:ascii="Helvetica" w:hAnsi="Helvetica" w:cs="Helvetica"/>
          <w:b/>
          <w:vertAlign w:val="superscript"/>
        </w:rPr>
        <w:t>st</w:t>
      </w:r>
      <w:r w:rsidR="003E79F3" w:rsidRPr="00BD7D7B">
        <w:rPr>
          <w:rFonts w:ascii="Helvetica" w:hAnsi="Helvetica" w:cs="Helvetica"/>
          <w:b/>
        </w:rPr>
        <w:t xml:space="preserve"> </w:t>
      </w:r>
      <w:r w:rsidR="00995927" w:rsidRPr="00BD7D7B">
        <w:rPr>
          <w:rFonts w:ascii="Helvetica" w:hAnsi="Helvetica" w:cs="Helvetica"/>
          <w:b/>
        </w:rPr>
        <w:t>March</w:t>
      </w:r>
      <w:r w:rsidR="0066662E" w:rsidRPr="00BD7D7B">
        <w:rPr>
          <w:rFonts w:ascii="Helvetica" w:hAnsi="Helvetica" w:cs="Helvetica"/>
          <w:b/>
        </w:rPr>
        <w:t xml:space="preserve"> </w:t>
      </w:r>
      <w:r w:rsidR="00C23AB6" w:rsidRPr="00BD7D7B">
        <w:rPr>
          <w:rFonts w:ascii="Helvetica" w:hAnsi="Helvetica" w:cs="Helvetica"/>
          <w:b/>
        </w:rPr>
        <w:t>202</w:t>
      </w:r>
      <w:r w:rsidR="008C6D8A" w:rsidRPr="00BD7D7B">
        <w:rPr>
          <w:rFonts w:ascii="Helvetica" w:hAnsi="Helvetica" w:cs="Helvetica"/>
          <w:b/>
        </w:rPr>
        <w:t>3</w:t>
      </w:r>
      <w:r w:rsidR="00C23AB6" w:rsidRPr="00BD7D7B">
        <w:rPr>
          <w:rFonts w:ascii="Helvetica" w:hAnsi="Helvetica" w:cs="Helvetica"/>
          <w:b/>
        </w:rPr>
        <w:t>/202</w:t>
      </w:r>
      <w:r w:rsidR="008C6D8A" w:rsidRPr="00BD7D7B">
        <w:rPr>
          <w:rFonts w:ascii="Helvetica" w:hAnsi="Helvetica" w:cs="Helvetica"/>
          <w:b/>
        </w:rPr>
        <w:t>4</w:t>
      </w:r>
    </w:p>
    <w:tbl>
      <w:tblPr>
        <w:tblStyle w:val="TableGrid"/>
        <w:tblW w:w="9581" w:type="dxa"/>
        <w:jc w:val="center"/>
        <w:tblLook w:val="04A0" w:firstRow="1" w:lastRow="0" w:firstColumn="1" w:lastColumn="0" w:noHBand="0" w:noVBand="1"/>
      </w:tblPr>
      <w:tblGrid>
        <w:gridCol w:w="1155"/>
        <w:gridCol w:w="978"/>
        <w:gridCol w:w="1110"/>
        <w:gridCol w:w="6338"/>
      </w:tblGrid>
      <w:tr w:rsidR="00F73590" w:rsidRPr="00BD7D7B" w14:paraId="6989796A" w14:textId="77777777" w:rsidTr="7706CFD1">
        <w:trPr>
          <w:jc w:val="center"/>
        </w:trPr>
        <w:tc>
          <w:tcPr>
            <w:tcW w:w="1155" w:type="dxa"/>
            <w:shd w:val="clear" w:color="auto" w:fill="5B9BD5" w:themeFill="accent5"/>
            <w:vAlign w:val="center"/>
          </w:tcPr>
          <w:p w14:paraId="50A0CF14" w14:textId="77777777" w:rsidR="00830E03" w:rsidRPr="00BD7D7B" w:rsidRDefault="00830E03" w:rsidP="00772B5E">
            <w:pPr>
              <w:jc w:val="center"/>
              <w:rPr>
                <w:rFonts w:ascii="Helvetica" w:hAnsi="Helvetica" w:cs="Helvetica"/>
                <w:b/>
                <w:color w:val="44546A" w:themeColor="text2"/>
              </w:rPr>
            </w:pPr>
            <w:r w:rsidRPr="00BD7D7B">
              <w:rPr>
                <w:rFonts w:ascii="Helvetica" w:hAnsi="Helvetica" w:cs="Helvetica"/>
                <w:b/>
                <w:color w:val="44546A" w:themeColor="text2"/>
              </w:rPr>
              <w:t>Band</w:t>
            </w:r>
          </w:p>
        </w:tc>
        <w:tc>
          <w:tcPr>
            <w:tcW w:w="978" w:type="dxa"/>
            <w:shd w:val="clear" w:color="auto" w:fill="5B9BD5" w:themeFill="accent5"/>
            <w:vAlign w:val="center"/>
          </w:tcPr>
          <w:p w14:paraId="3D3A1B71" w14:textId="7C398DE2" w:rsidR="00830E03" w:rsidRPr="00BD7D7B" w:rsidRDefault="00830E03" w:rsidP="00772B5E">
            <w:pPr>
              <w:jc w:val="center"/>
              <w:rPr>
                <w:rFonts w:ascii="Helvetica" w:hAnsi="Helvetica" w:cs="Helvetica"/>
                <w:b/>
                <w:color w:val="44546A" w:themeColor="text2"/>
              </w:rPr>
            </w:pPr>
            <w:r w:rsidRPr="00BD7D7B">
              <w:rPr>
                <w:rFonts w:ascii="Helvetica" w:hAnsi="Helvetica" w:cs="Helvetica"/>
                <w:b/>
                <w:color w:val="44546A" w:themeColor="text2"/>
              </w:rPr>
              <w:t>Male</w:t>
            </w:r>
          </w:p>
        </w:tc>
        <w:tc>
          <w:tcPr>
            <w:tcW w:w="1110" w:type="dxa"/>
            <w:shd w:val="clear" w:color="auto" w:fill="5B9BD5" w:themeFill="accent5"/>
            <w:vAlign w:val="center"/>
          </w:tcPr>
          <w:p w14:paraId="56EE25B2" w14:textId="64523163" w:rsidR="00830E03" w:rsidRPr="00BD7D7B" w:rsidRDefault="00830E03" w:rsidP="00772B5E">
            <w:pPr>
              <w:jc w:val="center"/>
              <w:rPr>
                <w:rFonts w:ascii="Helvetica" w:hAnsi="Helvetica" w:cs="Helvetica"/>
                <w:b/>
                <w:color w:val="44546A" w:themeColor="text2"/>
              </w:rPr>
            </w:pPr>
            <w:r w:rsidRPr="00BD7D7B">
              <w:rPr>
                <w:rFonts w:ascii="Helvetica" w:hAnsi="Helvetica" w:cs="Helvetica"/>
                <w:b/>
                <w:color w:val="44546A" w:themeColor="text2"/>
              </w:rPr>
              <w:t>Female</w:t>
            </w:r>
          </w:p>
        </w:tc>
        <w:tc>
          <w:tcPr>
            <w:tcW w:w="6338" w:type="dxa"/>
            <w:shd w:val="clear" w:color="auto" w:fill="5B9BD5" w:themeFill="accent5"/>
            <w:vAlign w:val="center"/>
          </w:tcPr>
          <w:p w14:paraId="5DC1A951" w14:textId="66F0C78E" w:rsidR="00830E03" w:rsidRPr="00BD7D7B" w:rsidRDefault="00830E03" w:rsidP="00772B5E">
            <w:pPr>
              <w:jc w:val="center"/>
              <w:rPr>
                <w:rFonts w:ascii="Helvetica" w:hAnsi="Helvetica" w:cs="Helvetica"/>
                <w:b/>
                <w:color w:val="44546A" w:themeColor="text2"/>
              </w:rPr>
            </w:pPr>
            <w:r w:rsidRPr="00BD7D7B">
              <w:rPr>
                <w:rFonts w:ascii="Helvetica" w:hAnsi="Helvetica" w:cs="Helvetica"/>
                <w:b/>
                <w:color w:val="44546A" w:themeColor="text2"/>
              </w:rPr>
              <w:t>Description</w:t>
            </w:r>
          </w:p>
        </w:tc>
      </w:tr>
      <w:tr w:rsidR="00830E03" w:rsidRPr="00BD7D7B" w14:paraId="675CA00C" w14:textId="77777777" w:rsidTr="7706CFD1">
        <w:trPr>
          <w:jc w:val="center"/>
        </w:trPr>
        <w:tc>
          <w:tcPr>
            <w:tcW w:w="1155" w:type="dxa"/>
            <w:vAlign w:val="center"/>
          </w:tcPr>
          <w:p w14:paraId="24176F40" w14:textId="7AF9C589" w:rsidR="00830E03" w:rsidRPr="00BD7D7B" w:rsidRDefault="7D531481" w:rsidP="00830E03">
            <w:pPr>
              <w:jc w:val="center"/>
              <w:rPr>
                <w:rFonts w:ascii="Helvetica" w:hAnsi="Helvetica" w:cs="Helvetica"/>
              </w:rPr>
            </w:pPr>
            <w:r w:rsidRPr="7706CFD1">
              <w:rPr>
                <w:rFonts w:ascii="Helvetica" w:hAnsi="Helvetica" w:cs="Helvetica"/>
              </w:rPr>
              <w:t>Q1</w:t>
            </w:r>
          </w:p>
          <w:p w14:paraId="25A5728F" w14:textId="77777777" w:rsidR="00830E03" w:rsidRPr="00BD7D7B" w:rsidRDefault="0B18A363" w:rsidP="00830E03">
            <w:pPr>
              <w:jc w:val="center"/>
              <w:rPr>
                <w:rFonts w:ascii="Helvetica" w:hAnsi="Helvetica" w:cs="Helvetica"/>
              </w:rPr>
            </w:pPr>
            <w:r w:rsidRPr="7706CFD1">
              <w:rPr>
                <w:rFonts w:ascii="Helvetica" w:hAnsi="Helvetica" w:cs="Helvetica"/>
              </w:rPr>
              <w:t>Upper Quartile</w:t>
            </w:r>
          </w:p>
          <w:p w14:paraId="5A03D469" w14:textId="2AF7F3E5" w:rsidR="00830E03" w:rsidRPr="00BD7D7B" w:rsidRDefault="0B18A363" w:rsidP="00830E03">
            <w:pPr>
              <w:jc w:val="center"/>
              <w:rPr>
                <w:rFonts w:ascii="Helvetica" w:hAnsi="Helvetica" w:cs="Helvetica"/>
              </w:rPr>
            </w:pPr>
            <w:r w:rsidRPr="7706CFD1">
              <w:rPr>
                <w:rFonts w:ascii="Helvetica" w:hAnsi="Helvetica" w:cs="Helvetica"/>
              </w:rPr>
              <w:t>25%</w:t>
            </w:r>
          </w:p>
        </w:tc>
        <w:tc>
          <w:tcPr>
            <w:tcW w:w="978" w:type="dxa"/>
            <w:vAlign w:val="center"/>
          </w:tcPr>
          <w:p w14:paraId="7E5B9634" w14:textId="16E6714A" w:rsidR="00830E03" w:rsidRPr="00BD7D7B" w:rsidRDefault="007E5E73" w:rsidP="00830E03">
            <w:pPr>
              <w:rPr>
                <w:rFonts w:ascii="Helvetica" w:hAnsi="Helvetica" w:cs="Helvetica"/>
                <w:color w:val="000000"/>
              </w:rPr>
            </w:pPr>
            <w:r w:rsidRPr="00BD7D7B">
              <w:rPr>
                <w:rFonts w:ascii="Helvetica" w:hAnsi="Helvetica" w:cs="Helvetica"/>
                <w:color w:val="000000"/>
              </w:rPr>
              <w:t>4</w:t>
            </w:r>
            <w:r w:rsidR="008C6D8A" w:rsidRPr="00BD7D7B">
              <w:rPr>
                <w:rFonts w:ascii="Helvetica" w:hAnsi="Helvetica" w:cs="Helvetica"/>
                <w:color w:val="000000"/>
              </w:rPr>
              <w:t>3.6</w:t>
            </w:r>
            <w:r w:rsidR="00275C03" w:rsidRPr="00BD7D7B">
              <w:rPr>
                <w:rFonts w:ascii="Helvetica" w:hAnsi="Helvetica" w:cs="Helvetica"/>
                <w:color w:val="000000"/>
              </w:rPr>
              <w:t>%</w:t>
            </w:r>
          </w:p>
        </w:tc>
        <w:tc>
          <w:tcPr>
            <w:tcW w:w="1110" w:type="dxa"/>
            <w:vAlign w:val="center"/>
          </w:tcPr>
          <w:p w14:paraId="07E790C8" w14:textId="54B3B6B0" w:rsidR="00830E03" w:rsidRPr="00BD7D7B" w:rsidRDefault="348C5F66" w:rsidP="00830E03">
            <w:pPr>
              <w:rPr>
                <w:rFonts w:ascii="Helvetica" w:hAnsi="Helvetica" w:cs="Helvetica"/>
              </w:rPr>
            </w:pPr>
            <w:r w:rsidRPr="7706CFD1">
              <w:rPr>
                <w:rFonts w:ascii="Helvetica" w:hAnsi="Helvetica" w:cs="Helvetica"/>
              </w:rPr>
              <w:t>5</w:t>
            </w:r>
            <w:r w:rsidR="008C6D8A" w:rsidRPr="7706CFD1">
              <w:rPr>
                <w:rFonts w:ascii="Helvetica" w:hAnsi="Helvetica" w:cs="Helvetica"/>
              </w:rPr>
              <w:t>6</w:t>
            </w:r>
            <w:r w:rsidRPr="7706CFD1">
              <w:rPr>
                <w:rFonts w:ascii="Helvetica" w:hAnsi="Helvetica" w:cs="Helvetica"/>
              </w:rPr>
              <w:t>.4</w:t>
            </w:r>
            <w:r w:rsidR="1FDC15CA" w:rsidRPr="7706CFD1">
              <w:rPr>
                <w:rFonts w:ascii="Helvetica" w:hAnsi="Helvetica" w:cs="Helvetica"/>
              </w:rPr>
              <w:t>%</w:t>
            </w:r>
          </w:p>
        </w:tc>
        <w:tc>
          <w:tcPr>
            <w:tcW w:w="6338" w:type="dxa"/>
            <w:vAlign w:val="center"/>
          </w:tcPr>
          <w:p w14:paraId="5AAAD93B" w14:textId="07262933" w:rsidR="00830E03" w:rsidRPr="00BD7D7B" w:rsidRDefault="0B18A363" w:rsidP="00830E03">
            <w:pPr>
              <w:rPr>
                <w:rFonts w:ascii="Helvetica" w:hAnsi="Helvetica" w:cs="Helvetica"/>
              </w:rPr>
            </w:pPr>
            <w:r w:rsidRPr="7706CFD1">
              <w:rPr>
                <w:rFonts w:ascii="Helvetica" w:hAnsi="Helvetica" w:cs="Helvetica"/>
              </w:rPr>
              <w:t xml:space="preserve">The percentage split between male and female employees whose standard hourly rate places them in the top 25%. </w:t>
            </w:r>
          </w:p>
        </w:tc>
      </w:tr>
      <w:tr w:rsidR="00830E03" w:rsidRPr="00BD7D7B" w14:paraId="539D93A0" w14:textId="77777777" w:rsidTr="7706CFD1">
        <w:trPr>
          <w:jc w:val="center"/>
        </w:trPr>
        <w:tc>
          <w:tcPr>
            <w:tcW w:w="1155" w:type="dxa"/>
            <w:vAlign w:val="center"/>
          </w:tcPr>
          <w:p w14:paraId="1B089C83" w14:textId="5C1E7B15" w:rsidR="00830E03" w:rsidRPr="00BD7D7B" w:rsidRDefault="322E2D00" w:rsidP="00830E03">
            <w:pPr>
              <w:jc w:val="center"/>
              <w:rPr>
                <w:rFonts w:ascii="Helvetica" w:hAnsi="Helvetica" w:cs="Helvetica"/>
              </w:rPr>
            </w:pPr>
            <w:r w:rsidRPr="7706CFD1">
              <w:rPr>
                <w:rFonts w:ascii="Helvetica" w:hAnsi="Helvetica" w:cs="Helvetica"/>
              </w:rPr>
              <w:t>Q2</w:t>
            </w:r>
          </w:p>
          <w:p w14:paraId="02B14029" w14:textId="77777777" w:rsidR="00830E03" w:rsidRPr="00BD7D7B" w:rsidRDefault="0B18A363" w:rsidP="00830E03">
            <w:pPr>
              <w:jc w:val="center"/>
              <w:rPr>
                <w:rFonts w:ascii="Helvetica" w:hAnsi="Helvetica" w:cs="Helvetica"/>
              </w:rPr>
            </w:pPr>
            <w:r w:rsidRPr="7706CFD1">
              <w:rPr>
                <w:rFonts w:ascii="Helvetica" w:hAnsi="Helvetica" w:cs="Helvetica"/>
              </w:rPr>
              <w:t>Upper Middle</w:t>
            </w:r>
          </w:p>
          <w:p w14:paraId="0FBF1B96" w14:textId="77777777" w:rsidR="00830E03" w:rsidRPr="00BD7D7B" w:rsidRDefault="0B18A363" w:rsidP="00830E03">
            <w:pPr>
              <w:jc w:val="center"/>
              <w:rPr>
                <w:rFonts w:ascii="Helvetica" w:hAnsi="Helvetica" w:cs="Helvetica"/>
              </w:rPr>
            </w:pPr>
            <w:r w:rsidRPr="7706CFD1">
              <w:rPr>
                <w:rFonts w:ascii="Helvetica" w:hAnsi="Helvetica" w:cs="Helvetica"/>
              </w:rPr>
              <w:t>Quartile</w:t>
            </w:r>
          </w:p>
          <w:p w14:paraId="6774D09D" w14:textId="7681DAD1" w:rsidR="00830E03" w:rsidRPr="00BD7D7B" w:rsidRDefault="0B18A363" w:rsidP="00830E03">
            <w:pPr>
              <w:jc w:val="center"/>
              <w:rPr>
                <w:rFonts w:ascii="Helvetica" w:hAnsi="Helvetica" w:cs="Helvetica"/>
              </w:rPr>
            </w:pPr>
            <w:r w:rsidRPr="7706CFD1">
              <w:rPr>
                <w:rFonts w:ascii="Helvetica" w:hAnsi="Helvetica" w:cs="Helvetica"/>
              </w:rPr>
              <w:t>25%</w:t>
            </w:r>
          </w:p>
        </w:tc>
        <w:tc>
          <w:tcPr>
            <w:tcW w:w="978" w:type="dxa"/>
            <w:vAlign w:val="center"/>
          </w:tcPr>
          <w:p w14:paraId="44E87528" w14:textId="7D77EEFF" w:rsidR="00830E03" w:rsidRPr="00BD7D7B" w:rsidRDefault="00275C03" w:rsidP="00830E03">
            <w:pPr>
              <w:rPr>
                <w:rFonts w:ascii="Helvetica" w:hAnsi="Helvetica" w:cs="Helvetica"/>
                <w:color w:val="000000"/>
              </w:rPr>
            </w:pPr>
            <w:r w:rsidRPr="00BD7D7B">
              <w:rPr>
                <w:rFonts w:ascii="Helvetica" w:hAnsi="Helvetica" w:cs="Helvetica"/>
                <w:color w:val="000000"/>
              </w:rPr>
              <w:t>3</w:t>
            </w:r>
            <w:r w:rsidR="008C6D8A" w:rsidRPr="00BD7D7B">
              <w:rPr>
                <w:rFonts w:ascii="Helvetica" w:hAnsi="Helvetica" w:cs="Helvetica"/>
                <w:color w:val="000000"/>
              </w:rPr>
              <w:t>1.5</w:t>
            </w:r>
            <w:r w:rsidRPr="00BD7D7B">
              <w:rPr>
                <w:rFonts w:ascii="Helvetica" w:hAnsi="Helvetica" w:cs="Helvetica"/>
                <w:color w:val="000000"/>
              </w:rPr>
              <w:t>%</w:t>
            </w:r>
          </w:p>
        </w:tc>
        <w:tc>
          <w:tcPr>
            <w:tcW w:w="1110" w:type="dxa"/>
            <w:vAlign w:val="center"/>
          </w:tcPr>
          <w:p w14:paraId="6C0BF58F" w14:textId="548512B5" w:rsidR="00830E03" w:rsidRPr="00BD7D7B" w:rsidRDefault="1FDC15CA" w:rsidP="00830E03">
            <w:pPr>
              <w:rPr>
                <w:rFonts w:ascii="Helvetica" w:hAnsi="Helvetica" w:cs="Helvetica"/>
              </w:rPr>
            </w:pPr>
            <w:r w:rsidRPr="7706CFD1">
              <w:rPr>
                <w:rFonts w:ascii="Helvetica" w:hAnsi="Helvetica" w:cs="Helvetica"/>
              </w:rPr>
              <w:t>6</w:t>
            </w:r>
            <w:r w:rsidR="008C6D8A" w:rsidRPr="7706CFD1">
              <w:rPr>
                <w:rFonts w:ascii="Helvetica" w:hAnsi="Helvetica" w:cs="Helvetica"/>
              </w:rPr>
              <w:t>8</w:t>
            </w:r>
            <w:r w:rsidRPr="7706CFD1">
              <w:rPr>
                <w:rFonts w:ascii="Helvetica" w:hAnsi="Helvetica" w:cs="Helvetica"/>
              </w:rPr>
              <w:t>.</w:t>
            </w:r>
            <w:r w:rsidR="008C6D8A" w:rsidRPr="7706CFD1">
              <w:rPr>
                <w:rFonts w:ascii="Helvetica" w:hAnsi="Helvetica" w:cs="Helvetica"/>
              </w:rPr>
              <w:t>5</w:t>
            </w:r>
            <w:r w:rsidRPr="7706CFD1">
              <w:rPr>
                <w:rFonts w:ascii="Helvetica" w:hAnsi="Helvetica" w:cs="Helvetica"/>
              </w:rPr>
              <w:t>%</w:t>
            </w:r>
          </w:p>
        </w:tc>
        <w:tc>
          <w:tcPr>
            <w:tcW w:w="6338" w:type="dxa"/>
            <w:vAlign w:val="center"/>
          </w:tcPr>
          <w:p w14:paraId="20C57EC8" w14:textId="7161C737" w:rsidR="00830E03" w:rsidRPr="00BD7D7B" w:rsidRDefault="0B18A363" w:rsidP="00830E03">
            <w:pPr>
              <w:rPr>
                <w:rFonts w:ascii="Helvetica" w:hAnsi="Helvetica" w:cs="Helvetica"/>
              </w:rPr>
            </w:pPr>
            <w:r w:rsidRPr="7706CFD1">
              <w:rPr>
                <w:rFonts w:ascii="Helvetica" w:hAnsi="Helvetica" w:cs="Helvetica"/>
              </w:rPr>
              <w:t>The percentage split between male and female employees whose standard hourly rate places them above the median but at or below the upper quartile.</w:t>
            </w:r>
          </w:p>
        </w:tc>
      </w:tr>
      <w:tr w:rsidR="00830E03" w:rsidRPr="00BD7D7B" w14:paraId="059A69AA" w14:textId="77777777" w:rsidTr="7706CFD1">
        <w:trPr>
          <w:jc w:val="center"/>
        </w:trPr>
        <w:tc>
          <w:tcPr>
            <w:tcW w:w="1155" w:type="dxa"/>
            <w:vAlign w:val="center"/>
          </w:tcPr>
          <w:p w14:paraId="61FE4189" w14:textId="1D9E5AF8" w:rsidR="00830E03" w:rsidRPr="00BD7D7B" w:rsidRDefault="4ED3DDAB" w:rsidP="00830E03">
            <w:pPr>
              <w:jc w:val="center"/>
              <w:rPr>
                <w:rFonts w:ascii="Helvetica" w:hAnsi="Helvetica" w:cs="Helvetica"/>
              </w:rPr>
            </w:pPr>
            <w:r w:rsidRPr="7706CFD1">
              <w:rPr>
                <w:rFonts w:ascii="Helvetica" w:hAnsi="Helvetica" w:cs="Helvetica"/>
              </w:rPr>
              <w:t>Q3</w:t>
            </w:r>
          </w:p>
          <w:p w14:paraId="1BAB756E" w14:textId="77777777" w:rsidR="00830E03" w:rsidRPr="00BD7D7B" w:rsidRDefault="0B18A363" w:rsidP="00830E03">
            <w:pPr>
              <w:jc w:val="center"/>
              <w:rPr>
                <w:rFonts w:ascii="Helvetica" w:hAnsi="Helvetica" w:cs="Helvetica"/>
              </w:rPr>
            </w:pPr>
            <w:r w:rsidRPr="7706CFD1">
              <w:rPr>
                <w:rFonts w:ascii="Helvetica" w:hAnsi="Helvetica" w:cs="Helvetica"/>
              </w:rPr>
              <w:t>Lower Middle Quartile</w:t>
            </w:r>
          </w:p>
          <w:p w14:paraId="5F353A37" w14:textId="567BD76F" w:rsidR="00830E03" w:rsidRPr="00BD7D7B" w:rsidRDefault="0B18A363" w:rsidP="00830E03">
            <w:pPr>
              <w:jc w:val="center"/>
              <w:rPr>
                <w:rFonts w:ascii="Helvetica" w:hAnsi="Helvetica" w:cs="Helvetica"/>
              </w:rPr>
            </w:pPr>
            <w:r w:rsidRPr="7706CFD1">
              <w:rPr>
                <w:rFonts w:ascii="Helvetica" w:hAnsi="Helvetica" w:cs="Helvetica"/>
              </w:rPr>
              <w:t>25%</w:t>
            </w:r>
          </w:p>
        </w:tc>
        <w:tc>
          <w:tcPr>
            <w:tcW w:w="978" w:type="dxa"/>
            <w:vAlign w:val="center"/>
          </w:tcPr>
          <w:p w14:paraId="40500A0A" w14:textId="6B7CCBDB" w:rsidR="00830E03" w:rsidRPr="00BD7D7B" w:rsidRDefault="00275C03" w:rsidP="00830E03">
            <w:pPr>
              <w:rPr>
                <w:rFonts w:ascii="Helvetica" w:hAnsi="Helvetica" w:cs="Helvetica"/>
                <w:color w:val="000000"/>
              </w:rPr>
            </w:pPr>
            <w:r w:rsidRPr="00BD7D7B">
              <w:rPr>
                <w:rFonts w:ascii="Helvetica" w:hAnsi="Helvetica" w:cs="Helvetica"/>
                <w:color w:val="000000"/>
              </w:rPr>
              <w:t>2</w:t>
            </w:r>
            <w:r w:rsidR="008C6D8A" w:rsidRPr="00BD7D7B">
              <w:rPr>
                <w:rFonts w:ascii="Helvetica" w:hAnsi="Helvetica" w:cs="Helvetica"/>
                <w:color w:val="000000"/>
              </w:rPr>
              <w:t>6</w:t>
            </w:r>
            <w:r w:rsidRPr="00BD7D7B">
              <w:rPr>
                <w:rFonts w:ascii="Helvetica" w:hAnsi="Helvetica" w:cs="Helvetica"/>
                <w:color w:val="000000"/>
              </w:rPr>
              <w:t>.</w:t>
            </w:r>
            <w:r w:rsidR="008C6D8A" w:rsidRPr="00BD7D7B">
              <w:rPr>
                <w:rFonts w:ascii="Helvetica" w:hAnsi="Helvetica" w:cs="Helvetica"/>
                <w:color w:val="000000"/>
              </w:rPr>
              <w:t>9</w:t>
            </w:r>
            <w:r w:rsidRPr="00BD7D7B">
              <w:rPr>
                <w:rFonts w:ascii="Helvetica" w:hAnsi="Helvetica" w:cs="Helvetica"/>
                <w:color w:val="000000"/>
              </w:rPr>
              <w:t>%</w:t>
            </w:r>
          </w:p>
        </w:tc>
        <w:tc>
          <w:tcPr>
            <w:tcW w:w="1110" w:type="dxa"/>
            <w:vAlign w:val="center"/>
          </w:tcPr>
          <w:p w14:paraId="07525B2A" w14:textId="4B0B2EFB" w:rsidR="00830E03" w:rsidRPr="00BD7D7B" w:rsidRDefault="1FDC15CA" w:rsidP="00830E03">
            <w:pPr>
              <w:rPr>
                <w:rFonts w:ascii="Helvetica" w:hAnsi="Helvetica" w:cs="Helvetica"/>
              </w:rPr>
            </w:pPr>
            <w:r w:rsidRPr="7706CFD1">
              <w:rPr>
                <w:rFonts w:ascii="Helvetica" w:hAnsi="Helvetica" w:cs="Helvetica"/>
              </w:rPr>
              <w:t>7</w:t>
            </w:r>
            <w:r w:rsidR="008C6D8A" w:rsidRPr="7706CFD1">
              <w:rPr>
                <w:rFonts w:ascii="Helvetica" w:hAnsi="Helvetica" w:cs="Helvetica"/>
              </w:rPr>
              <w:t>3</w:t>
            </w:r>
            <w:r w:rsidRPr="7706CFD1">
              <w:rPr>
                <w:rFonts w:ascii="Helvetica" w:hAnsi="Helvetica" w:cs="Helvetica"/>
              </w:rPr>
              <w:t>.</w:t>
            </w:r>
            <w:r w:rsidR="008C6D8A" w:rsidRPr="7706CFD1">
              <w:rPr>
                <w:rFonts w:ascii="Helvetica" w:hAnsi="Helvetica" w:cs="Helvetica"/>
              </w:rPr>
              <w:t>1</w:t>
            </w:r>
            <w:r w:rsidRPr="7706CFD1">
              <w:rPr>
                <w:rFonts w:ascii="Helvetica" w:hAnsi="Helvetica" w:cs="Helvetica"/>
              </w:rPr>
              <w:t>%</w:t>
            </w:r>
          </w:p>
        </w:tc>
        <w:tc>
          <w:tcPr>
            <w:tcW w:w="6338" w:type="dxa"/>
            <w:vAlign w:val="center"/>
          </w:tcPr>
          <w:p w14:paraId="54E23865" w14:textId="43BED214" w:rsidR="00830E03" w:rsidRPr="00BD7D7B" w:rsidRDefault="0B18A363" w:rsidP="00830E03">
            <w:pPr>
              <w:rPr>
                <w:rFonts w:ascii="Helvetica" w:hAnsi="Helvetica" w:cs="Helvetica"/>
              </w:rPr>
            </w:pPr>
            <w:r w:rsidRPr="7706CFD1">
              <w:rPr>
                <w:rFonts w:ascii="Helvetica" w:hAnsi="Helvetica" w:cs="Helvetica"/>
              </w:rPr>
              <w:t>The percentage split between male and female employees whose standard hourly rate places them above the lower quartile but at or below the median.</w:t>
            </w:r>
          </w:p>
        </w:tc>
      </w:tr>
      <w:tr w:rsidR="00830E03" w:rsidRPr="00BD7D7B" w14:paraId="2065CA88" w14:textId="77777777" w:rsidTr="7706CFD1">
        <w:trPr>
          <w:jc w:val="center"/>
        </w:trPr>
        <w:tc>
          <w:tcPr>
            <w:tcW w:w="1155" w:type="dxa"/>
            <w:vAlign w:val="center"/>
          </w:tcPr>
          <w:p w14:paraId="1B6320C5" w14:textId="4CD0E7C2" w:rsidR="00830E03" w:rsidRPr="00BD7D7B" w:rsidRDefault="16A7CA0F" w:rsidP="00830E03">
            <w:pPr>
              <w:jc w:val="center"/>
              <w:rPr>
                <w:rFonts w:ascii="Helvetica" w:hAnsi="Helvetica" w:cs="Helvetica"/>
              </w:rPr>
            </w:pPr>
            <w:r w:rsidRPr="7706CFD1">
              <w:rPr>
                <w:rFonts w:ascii="Helvetica" w:hAnsi="Helvetica" w:cs="Helvetica"/>
              </w:rPr>
              <w:t>Q4</w:t>
            </w:r>
          </w:p>
          <w:p w14:paraId="15D13948" w14:textId="77777777" w:rsidR="00830E03" w:rsidRPr="00BD7D7B" w:rsidRDefault="0B18A363" w:rsidP="00830E03">
            <w:pPr>
              <w:jc w:val="center"/>
              <w:rPr>
                <w:rFonts w:ascii="Helvetica" w:hAnsi="Helvetica" w:cs="Helvetica"/>
              </w:rPr>
            </w:pPr>
            <w:r w:rsidRPr="7706CFD1">
              <w:rPr>
                <w:rFonts w:ascii="Helvetica" w:hAnsi="Helvetica" w:cs="Helvetica"/>
              </w:rPr>
              <w:t>Lower Quartile</w:t>
            </w:r>
          </w:p>
          <w:p w14:paraId="0FD4529D" w14:textId="720D0070" w:rsidR="00830E03" w:rsidRPr="00BD7D7B" w:rsidRDefault="0B18A363" w:rsidP="00830E03">
            <w:pPr>
              <w:jc w:val="center"/>
              <w:rPr>
                <w:rFonts w:ascii="Helvetica" w:hAnsi="Helvetica" w:cs="Helvetica"/>
              </w:rPr>
            </w:pPr>
            <w:r w:rsidRPr="7706CFD1">
              <w:rPr>
                <w:rFonts w:ascii="Helvetica" w:hAnsi="Helvetica" w:cs="Helvetica"/>
              </w:rPr>
              <w:t>25%</w:t>
            </w:r>
          </w:p>
        </w:tc>
        <w:tc>
          <w:tcPr>
            <w:tcW w:w="978" w:type="dxa"/>
            <w:vAlign w:val="center"/>
          </w:tcPr>
          <w:p w14:paraId="1AF097B6" w14:textId="5717784A" w:rsidR="00830E03" w:rsidRPr="00BD7D7B" w:rsidRDefault="008C6D8A" w:rsidP="00830E03">
            <w:pPr>
              <w:rPr>
                <w:rFonts w:ascii="Helvetica" w:hAnsi="Helvetica" w:cs="Helvetica"/>
                <w:color w:val="000000"/>
              </w:rPr>
            </w:pPr>
            <w:r w:rsidRPr="7706CFD1">
              <w:rPr>
                <w:rFonts w:ascii="Helvetica" w:hAnsi="Helvetica" w:cs="Helvetica"/>
                <w:color w:val="000000" w:themeColor="text1"/>
              </w:rPr>
              <w:t>22.3</w:t>
            </w:r>
            <w:r w:rsidR="5F075E30" w:rsidRPr="7706CFD1">
              <w:rPr>
                <w:rFonts w:ascii="Helvetica" w:hAnsi="Helvetica" w:cs="Helvetica"/>
                <w:color w:val="000000" w:themeColor="text1"/>
              </w:rPr>
              <w:t>%</w:t>
            </w:r>
          </w:p>
        </w:tc>
        <w:tc>
          <w:tcPr>
            <w:tcW w:w="1110" w:type="dxa"/>
            <w:vAlign w:val="center"/>
          </w:tcPr>
          <w:p w14:paraId="3242F200" w14:textId="61880477" w:rsidR="00830E03" w:rsidRPr="00BD7D7B" w:rsidRDefault="5F075E30" w:rsidP="00830E03">
            <w:pPr>
              <w:rPr>
                <w:rFonts w:ascii="Helvetica" w:hAnsi="Helvetica" w:cs="Helvetica"/>
              </w:rPr>
            </w:pPr>
            <w:r w:rsidRPr="7706CFD1">
              <w:rPr>
                <w:rFonts w:ascii="Helvetica" w:hAnsi="Helvetica" w:cs="Helvetica"/>
              </w:rPr>
              <w:t>7</w:t>
            </w:r>
            <w:r w:rsidR="008C6D8A" w:rsidRPr="7706CFD1">
              <w:rPr>
                <w:rFonts w:ascii="Helvetica" w:hAnsi="Helvetica" w:cs="Helvetica"/>
              </w:rPr>
              <w:t>7</w:t>
            </w:r>
            <w:r w:rsidRPr="7706CFD1">
              <w:rPr>
                <w:rFonts w:ascii="Helvetica" w:hAnsi="Helvetica" w:cs="Helvetica"/>
              </w:rPr>
              <w:t>.</w:t>
            </w:r>
            <w:r w:rsidR="008C6D8A" w:rsidRPr="7706CFD1">
              <w:rPr>
                <w:rFonts w:ascii="Helvetica" w:hAnsi="Helvetica" w:cs="Helvetica"/>
              </w:rPr>
              <w:t>7</w:t>
            </w:r>
            <w:r w:rsidRPr="7706CFD1">
              <w:rPr>
                <w:rFonts w:ascii="Helvetica" w:hAnsi="Helvetica" w:cs="Helvetica"/>
              </w:rPr>
              <w:t>%</w:t>
            </w:r>
          </w:p>
        </w:tc>
        <w:tc>
          <w:tcPr>
            <w:tcW w:w="6338" w:type="dxa"/>
            <w:vAlign w:val="center"/>
          </w:tcPr>
          <w:p w14:paraId="2D8347CA" w14:textId="070B7555" w:rsidR="00830E03" w:rsidRPr="00BD7D7B" w:rsidRDefault="0B18A363" w:rsidP="00830E03">
            <w:pPr>
              <w:rPr>
                <w:rFonts w:ascii="Helvetica" w:hAnsi="Helvetica" w:cs="Helvetica"/>
              </w:rPr>
            </w:pPr>
            <w:r w:rsidRPr="7706CFD1">
              <w:rPr>
                <w:rFonts w:ascii="Helvetica" w:hAnsi="Helvetica" w:cs="Helvetica"/>
              </w:rPr>
              <w:t>The percentage split between male and female employees whose standard hourly rate places them at or below the lower quartile.</w:t>
            </w:r>
          </w:p>
        </w:tc>
      </w:tr>
    </w:tbl>
    <w:p w14:paraId="2DE2534B" w14:textId="43688D1F" w:rsidR="00FF0D92" w:rsidRPr="00BD7D7B" w:rsidRDefault="00FF0D92" w:rsidP="00BB36C8">
      <w:pPr>
        <w:rPr>
          <w:rFonts w:ascii="Helvetica" w:hAnsi="Helvetica" w:cs="Helvetica"/>
        </w:rPr>
      </w:pPr>
    </w:p>
    <w:p w14:paraId="5078C53A" w14:textId="5DAFA56B" w:rsidR="00190672" w:rsidRPr="00BD7D7B" w:rsidRDefault="00190672" w:rsidP="00BB36C8">
      <w:pPr>
        <w:rPr>
          <w:rFonts w:ascii="Helvetica" w:hAnsi="Helvetica" w:cs="Helvetica"/>
        </w:rPr>
      </w:pPr>
      <w:r w:rsidRPr="00BD7D7B">
        <w:rPr>
          <w:noProof/>
        </w:rPr>
        <w:lastRenderedPageBreak/>
        <w:drawing>
          <wp:inline distT="0" distB="0" distL="0" distR="0" wp14:anchorId="3669E28C" wp14:editId="1724E52F">
            <wp:extent cx="5915025" cy="3422650"/>
            <wp:effectExtent l="0" t="0" r="9525" b="6350"/>
            <wp:docPr id="149925882" name="Chart 1">
              <a:extLst xmlns:a="http://schemas.openxmlformats.org/drawingml/2006/main">
                <a:ext uri="{FF2B5EF4-FFF2-40B4-BE49-F238E27FC236}">
                  <a16:creationId xmlns:a16="http://schemas.microsoft.com/office/drawing/2014/main" id="{F44E2378-B1AB-6A5E-EE97-259AAD600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16C94D" w14:textId="77777777" w:rsidR="00430231" w:rsidRPr="00BD7D7B" w:rsidRDefault="00430231" w:rsidP="00BB36C8">
      <w:pPr>
        <w:rPr>
          <w:rFonts w:ascii="Helvetica" w:hAnsi="Helvetica" w:cs="Helvetica"/>
        </w:rPr>
      </w:pPr>
    </w:p>
    <w:p w14:paraId="262D2B6D" w14:textId="1E633BBA" w:rsidR="00067897" w:rsidRPr="00BD7D7B" w:rsidRDefault="00067897" w:rsidP="00BB36C8">
      <w:pPr>
        <w:rPr>
          <w:rFonts w:ascii="Helvetica" w:hAnsi="Helvetica" w:cs="Helvetica"/>
        </w:rPr>
      </w:pPr>
      <w:r w:rsidRPr="00BD7D7B">
        <w:rPr>
          <w:noProof/>
        </w:rPr>
        <w:drawing>
          <wp:inline distT="0" distB="0" distL="0" distR="0" wp14:anchorId="5FF72051" wp14:editId="2030405B">
            <wp:extent cx="5924550" cy="3371850"/>
            <wp:effectExtent l="0" t="0" r="0" b="0"/>
            <wp:docPr id="609435279" name="Chart 1">
              <a:extLst xmlns:a="http://schemas.openxmlformats.org/drawingml/2006/main">
                <a:ext uri="{FF2B5EF4-FFF2-40B4-BE49-F238E27FC236}">
                  <a16:creationId xmlns:a16="http://schemas.microsoft.com/office/drawing/2014/main" id="{3C980AC1-A548-0FD7-B75F-CC34614483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165382" w14:textId="0E08CECC" w:rsidR="00067897" w:rsidRPr="00BD7D7B" w:rsidRDefault="00067897" w:rsidP="00BB36C8">
      <w:pPr>
        <w:rPr>
          <w:rFonts w:ascii="Helvetica" w:hAnsi="Helvetica" w:cs="Helvetica"/>
        </w:rPr>
      </w:pPr>
      <w:r w:rsidRPr="00BD7D7B">
        <w:rPr>
          <w:noProof/>
        </w:rPr>
        <w:lastRenderedPageBreak/>
        <w:drawing>
          <wp:inline distT="0" distB="0" distL="0" distR="0" wp14:anchorId="02F2287A" wp14:editId="64343FF3">
            <wp:extent cx="6038850" cy="3257550"/>
            <wp:effectExtent l="0" t="0" r="0" b="0"/>
            <wp:docPr id="547871800" name="Chart 1">
              <a:extLst xmlns:a="http://schemas.openxmlformats.org/drawingml/2006/main">
                <a:ext uri="{FF2B5EF4-FFF2-40B4-BE49-F238E27FC236}">
                  <a16:creationId xmlns:a16="http://schemas.microsoft.com/office/drawing/2014/main" id="{FCFD46B0-6C44-1294-7F3C-2A9BE04C6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332900" w14:textId="77777777" w:rsidR="00430231" w:rsidRPr="00BD7D7B" w:rsidRDefault="00430231" w:rsidP="00BB36C8">
      <w:pPr>
        <w:rPr>
          <w:rFonts w:ascii="Helvetica" w:hAnsi="Helvetica" w:cs="Helvetica"/>
        </w:rPr>
      </w:pPr>
    </w:p>
    <w:p w14:paraId="3F880D23" w14:textId="77777777" w:rsidR="00430231" w:rsidRPr="00BD7D7B" w:rsidRDefault="00430231" w:rsidP="00BB36C8">
      <w:pPr>
        <w:rPr>
          <w:rFonts w:ascii="Helvetica" w:hAnsi="Helvetica" w:cs="Helvetica"/>
        </w:rPr>
      </w:pPr>
    </w:p>
    <w:p w14:paraId="4EDA443C" w14:textId="307A729F" w:rsidR="00430231" w:rsidRPr="00BD7D7B" w:rsidRDefault="00430231" w:rsidP="00BB36C8">
      <w:pPr>
        <w:rPr>
          <w:rFonts w:ascii="Helvetica" w:hAnsi="Helvetica" w:cs="Helvetica"/>
        </w:rPr>
      </w:pPr>
      <w:r w:rsidRPr="00BD7D7B">
        <w:rPr>
          <w:noProof/>
        </w:rPr>
        <w:drawing>
          <wp:inline distT="0" distB="0" distL="0" distR="0" wp14:anchorId="648C18F3" wp14:editId="1717AEFB">
            <wp:extent cx="6029325" cy="3429000"/>
            <wp:effectExtent l="0" t="0" r="9525" b="0"/>
            <wp:docPr id="1608611299" name="Chart 1">
              <a:extLst xmlns:a="http://schemas.openxmlformats.org/drawingml/2006/main">
                <a:ext uri="{FF2B5EF4-FFF2-40B4-BE49-F238E27FC236}">
                  <a16:creationId xmlns:a16="http://schemas.microsoft.com/office/drawing/2014/main" id="{E7F55384-B081-57D1-5874-B74DBDF62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41EC96" w14:textId="77777777" w:rsidR="00F73374" w:rsidRPr="00BD7D7B" w:rsidRDefault="00F73374" w:rsidP="004E0121">
      <w:pPr>
        <w:rPr>
          <w:rFonts w:ascii="Helvetica" w:hAnsi="Helvetica" w:cs="Helvetica"/>
        </w:rPr>
      </w:pPr>
    </w:p>
    <w:p w14:paraId="59187D00" w14:textId="49544BA7" w:rsidR="001C7512" w:rsidRPr="00BD7D7B" w:rsidRDefault="001C7512" w:rsidP="004E0121">
      <w:pPr>
        <w:rPr>
          <w:rFonts w:ascii="Helvetica" w:hAnsi="Helvetica" w:cs="Helvetica"/>
        </w:rPr>
      </w:pPr>
      <w:r w:rsidRPr="7706CFD1">
        <w:rPr>
          <w:rFonts w:ascii="Helvetica" w:hAnsi="Helvetica" w:cs="Helvetica"/>
        </w:rPr>
        <w:t xml:space="preserve">In this reporting year </w:t>
      </w:r>
      <w:r w:rsidR="006B6429" w:rsidRPr="7706CFD1">
        <w:rPr>
          <w:rFonts w:ascii="Helvetica" w:hAnsi="Helvetica" w:cs="Helvetica"/>
        </w:rPr>
        <w:t>females occupied 5</w:t>
      </w:r>
      <w:r w:rsidR="008C6D8A" w:rsidRPr="7706CFD1">
        <w:rPr>
          <w:rFonts w:ascii="Helvetica" w:hAnsi="Helvetica" w:cs="Helvetica"/>
        </w:rPr>
        <w:t>6</w:t>
      </w:r>
      <w:r w:rsidR="006B6429" w:rsidRPr="7706CFD1">
        <w:rPr>
          <w:rFonts w:ascii="Helvetica" w:hAnsi="Helvetica" w:cs="Helvetica"/>
        </w:rPr>
        <w:t xml:space="preserve">.4% of the highest paid posts, an </w:t>
      </w:r>
      <w:r w:rsidR="00BD3ABB" w:rsidRPr="7706CFD1">
        <w:rPr>
          <w:rFonts w:ascii="Helvetica" w:hAnsi="Helvetica" w:cs="Helvetica"/>
        </w:rPr>
        <w:t>in</w:t>
      </w:r>
      <w:r w:rsidR="006B6429" w:rsidRPr="7706CFD1">
        <w:rPr>
          <w:rFonts w:ascii="Helvetica" w:hAnsi="Helvetica" w:cs="Helvetica"/>
        </w:rPr>
        <w:t xml:space="preserve">crease of </w:t>
      </w:r>
      <w:r w:rsidR="008C6D8A" w:rsidRPr="7706CFD1">
        <w:rPr>
          <w:rFonts w:ascii="Helvetica" w:hAnsi="Helvetica" w:cs="Helvetica"/>
        </w:rPr>
        <w:t>3</w:t>
      </w:r>
      <w:r w:rsidR="006B6429" w:rsidRPr="7706CFD1">
        <w:rPr>
          <w:rFonts w:ascii="Helvetica" w:hAnsi="Helvetica" w:cs="Helvetica"/>
        </w:rPr>
        <w:t>% compared to 202</w:t>
      </w:r>
      <w:r w:rsidR="008C6D8A" w:rsidRPr="7706CFD1">
        <w:rPr>
          <w:rFonts w:ascii="Helvetica" w:hAnsi="Helvetica" w:cs="Helvetica"/>
        </w:rPr>
        <w:t>2</w:t>
      </w:r>
      <w:r w:rsidR="006B6429" w:rsidRPr="7706CFD1">
        <w:rPr>
          <w:rFonts w:ascii="Helvetica" w:hAnsi="Helvetica" w:cs="Helvetica"/>
        </w:rPr>
        <w:t xml:space="preserve">. However, they also occupied </w:t>
      </w:r>
      <w:r w:rsidR="00D257CD" w:rsidRPr="7706CFD1">
        <w:rPr>
          <w:rFonts w:ascii="Helvetica" w:hAnsi="Helvetica" w:cs="Helvetica"/>
        </w:rPr>
        <w:t>7</w:t>
      </w:r>
      <w:r w:rsidR="008C6D8A" w:rsidRPr="7706CFD1">
        <w:rPr>
          <w:rFonts w:ascii="Helvetica" w:hAnsi="Helvetica" w:cs="Helvetica"/>
        </w:rPr>
        <w:t>7</w:t>
      </w:r>
      <w:r w:rsidR="00D257CD" w:rsidRPr="7706CFD1">
        <w:rPr>
          <w:rFonts w:ascii="Helvetica" w:hAnsi="Helvetica" w:cs="Helvetica"/>
        </w:rPr>
        <w:t>.</w:t>
      </w:r>
      <w:r w:rsidR="008C6D8A" w:rsidRPr="7706CFD1">
        <w:rPr>
          <w:rFonts w:ascii="Helvetica" w:hAnsi="Helvetica" w:cs="Helvetica"/>
        </w:rPr>
        <w:t>7</w:t>
      </w:r>
      <w:r w:rsidR="00D257CD" w:rsidRPr="7706CFD1">
        <w:rPr>
          <w:rFonts w:ascii="Helvetica" w:hAnsi="Helvetica" w:cs="Helvetica"/>
        </w:rPr>
        <w:t>% of the lowest paid posts</w:t>
      </w:r>
      <w:r w:rsidR="006E0FEC" w:rsidRPr="7706CFD1">
        <w:rPr>
          <w:rFonts w:ascii="Helvetica" w:hAnsi="Helvetica" w:cs="Helvetica"/>
        </w:rPr>
        <w:t>,</w:t>
      </w:r>
      <w:r w:rsidR="00D257CD" w:rsidRPr="7706CFD1">
        <w:rPr>
          <w:rFonts w:ascii="Helvetica" w:hAnsi="Helvetica" w:cs="Helvetica"/>
        </w:rPr>
        <w:t xml:space="preserve"> an increase of </w:t>
      </w:r>
      <w:r w:rsidR="008C6D8A" w:rsidRPr="7706CFD1">
        <w:rPr>
          <w:rFonts w:ascii="Helvetica" w:hAnsi="Helvetica" w:cs="Helvetica"/>
        </w:rPr>
        <w:t>2</w:t>
      </w:r>
      <w:r w:rsidR="00D257CD" w:rsidRPr="7706CFD1">
        <w:rPr>
          <w:rFonts w:ascii="Helvetica" w:hAnsi="Helvetica" w:cs="Helvetica"/>
        </w:rPr>
        <w:t>.</w:t>
      </w:r>
      <w:r w:rsidR="008C6D8A" w:rsidRPr="7706CFD1">
        <w:rPr>
          <w:rFonts w:ascii="Helvetica" w:hAnsi="Helvetica" w:cs="Helvetica"/>
        </w:rPr>
        <w:t>1</w:t>
      </w:r>
      <w:r w:rsidR="00D257CD" w:rsidRPr="7706CFD1">
        <w:rPr>
          <w:rFonts w:ascii="Helvetica" w:hAnsi="Helvetica" w:cs="Helvetica"/>
        </w:rPr>
        <w:t>% compared to 202</w:t>
      </w:r>
      <w:r w:rsidR="008C6D8A" w:rsidRPr="7706CFD1">
        <w:rPr>
          <w:rFonts w:ascii="Helvetica" w:hAnsi="Helvetica" w:cs="Helvetica"/>
        </w:rPr>
        <w:t>2</w:t>
      </w:r>
      <w:r w:rsidR="00D257CD" w:rsidRPr="7706CFD1">
        <w:rPr>
          <w:rFonts w:ascii="Helvetica" w:hAnsi="Helvetica" w:cs="Helvetica"/>
        </w:rPr>
        <w:t xml:space="preserve">. </w:t>
      </w:r>
    </w:p>
    <w:p w14:paraId="7CFDDF73" w14:textId="7517A8AC" w:rsidR="00B35A51" w:rsidRPr="00BD7D7B" w:rsidRDefault="00B35A51" w:rsidP="004E0121">
      <w:pPr>
        <w:rPr>
          <w:rFonts w:ascii="Helvetica" w:hAnsi="Helvetica" w:cs="Helvetica"/>
        </w:rPr>
      </w:pPr>
      <w:r w:rsidRPr="7706CFD1">
        <w:rPr>
          <w:rFonts w:ascii="Helvetica" w:hAnsi="Helvetica" w:cs="Helvetica"/>
        </w:rPr>
        <w:t xml:space="preserve">Within the lower quartile, </w:t>
      </w:r>
      <w:r w:rsidR="00D971DA" w:rsidRPr="7706CFD1">
        <w:rPr>
          <w:rFonts w:ascii="Helvetica" w:hAnsi="Helvetica" w:cs="Helvetica"/>
        </w:rPr>
        <w:t xml:space="preserve">there </w:t>
      </w:r>
      <w:r w:rsidR="00DE23F6" w:rsidRPr="7706CFD1">
        <w:rPr>
          <w:rFonts w:ascii="Helvetica" w:hAnsi="Helvetica" w:cs="Helvetica"/>
        </w:rPr>
        <w:t xml:space="preserve">is </w:t>
      </w:r>
      <w:r w:rsidR="00D971DA" w:rsidRPr="7706CFD1">
        <w:rPr>
          <w:rFonts w:ascii="Helvetica" w:hAnsi="Helvetica" w:cs="Helvetica"/>
        </w:rPr>
        <w:t>a diverse range of roles including</w:t>
      </w:r>
      <w:r w:rsidR="004F7792" w:rsidRPr="7706CFD1">
        <w:rPr>
          <w:rFonts w:ascii="Helvetica" w:hAnsi="Helvetica" w:cs="Helvetica"/>
        </w:rPr>
        <w:t xml:space="preserve">: </w:t>
      </w:r>
      <w:r w:rsidR="00813D02" w:rsidRPr="7706CFD1">
        <w:rPr>
          <w:rFonts w:ascii="Helvetica" w:hAnsi="Helvetica" w:cs="Helvetica"/>
        </w:rPr>
        <w:t xml:space="preserve">Invigilators, </w:t>
      </w:r>
      <w:r w:rsidR="006747E5" w:rsidRPr="7706CFD1">
        <w:rPr>
          <w:rFonts w:ascii="Helvetica" w:hAnsi="Helvetica" w:cs="Helvetica"/>
        </w:rPr>
        <w:t xml:space="preserve">Lunchtime Cover, </w:t>
      </w:r>
      <w:r w:rsidR="00044503" w:rsidRPr="7706CFD1">
        <w:rPr>
          <w:rFonts w:ascii="Helvetica" w:hAnsi="Helvetica" w:cs="Helvetica"/>
        </w:rPr>
        <w:t>Clean</w:t>
      </w:r>
      <w:r w:rsidR="000E192C" w:rsidRPr="7706CFD1">
        <w:rPr>
          <w:rFonts w:ascii="Helvetica" w:hAnsi="Helvetica" w:cs="Helvetica"/>
        </w:rPr>
        <w:t>ers</w:t>
      </w:r>
      <w:r w:rsidRPr="7706CFD1">
        <w:rPr>
          <w:rFonts w:ascii="Helvetica" w:hAnsi="Helvetica" w:cs="Helvetica"/>
        </w:rPr>
        <w:t xml:space="preserve">, </w:t>
      </w:r>
      <w:r w:rsidR="00D971DA" w:rsidRPr="7706CFD1">
        <w:rPr>
          <w:rFonts w:ascii="Helvetica" w:hAnsi="Helvetica" w:cs="Helvetica"/>
        </w:rPr>
        <w:t xml:space="preserve">Receptionists, </w:t>
      </w:r>
      <w:r w:rsidR="00073AD0" w:rsidRPr="7706CFD1">
        <w:rPr>
          <w:rFonts w:ascii="Helvetica" w:hAnsi="Helvetica" w:cs="Helvetica"/>
        </w:rPr>
        <w:t>Coach</w:t>
      </w:r>
      <w:r w:rsidR="71281935" w:rsidRPr="7706CFD1">
        <w:rPr>
          <w:rFonts w:ascii="Helvetica" w:hAnsi="Helvetica" w:cs="Helvetica"/>
        </w:rPr>
        <w:t xml:space="preserve">es and </w:t>
      </w:r>
      <w:r w:rsidRPr="7706CFD1">
        <w:rPr>
          <w:rFonts w:ascii="Helvetica" w:hAnsi="Helvetica" w:cs="Helvetica"/>
        </w:rPr>
        <w:t>Administrat</w:t>
      </w:r>
      <w:r w:rsidR="00D971DA" w:rsidRPr="7706CFD1">
        <w:rPr>
          <w:rFonts w:ascii="Helvetica" w:hAnsi="Helvetica" w:cs="Helvetica"/>
        </w:rPr>
        <w:t>ors</w:t>
      </w:r>
      <w:r w:rsidR="00AF519E" w:rsidRPr="7706CFD1">
        <w:rPr>
          <w:rFonts w:ascii="Helvetica" w:hAnsi="Helvetica" w:cs="Helvetica"/>
        </w:rPr>
        <w:t xml:space="preserve">. </w:t>
      </w:r>
      <w:r w:rsidR="001B3F8C" w:rsidRPr="7706CFD1">
        <w:rPr>
          <w:rFonts w:ascii="Helvetica" w:hAnsi="Helvetica" w:cs="Helvetica"/>
        </w:rPr>
        <w:t xml:space="preserve">Within the Lower Quartile, </w:t>
      </w:r>
      <w:r w:rsidR="008D5199" w:rsidRPr="7706CFD1">
        <w:rPr>
          <w:rFonts w:ascii="Helvetica" w:hAnsi="Helvetica" w:cs="Helvetica"/>
        </w:rPr>
        <w:t>7</w:t>
      </w:r>
      <w:r w:rsidR="00B95D35" w:rsidRPr="7706CFD1">
        <w:rPr>
          <w:rFonts w:ascii="Helvetica" w:hAnsi="Helvetica" w:cs="Helvetica"/>
        </w:rPr>
        <w:t>7.</w:t>
      </w:r>
      <w:r w:rsidR="6668DCC5" w:rsidRPr="7706CFD1">
        <w:rPr>
          <w:rFonts w:ascii="Helvetica" w:hAnsi="Helvetica" w:cs="Helvetica"/>
        </w:rPr>
        <w:t>7</w:t>
      </w:r>
      <w:r w:rsidR="008D5199" w:rsidRPr="7706CFD1">
        <w:rPr>
          <w:rFonts w:ascii="Helvetica" w:hAnsi="Helvetica" w:cs="Helvetica"/>
        </w:rPr>
        <w:t>%</w:t>
      </w:r>
      <w:r w:rsidR="00073AD0" w:rsidRPr="7706CFD1">
        <w:rPr>
          <w:rFonts w:ascii="Helvetica" w:hAnsi="Helvetica" w:cs="Helvetica"/>
        </w:rPr>
        <w:t xml:space="preserve"> </w:t>
      </w:r>
      <w:r w:rsidR="001B3F8C" w:rsidRPr="7706CFD1">
        <w:rPr>
          <w:rFonts w:ascii="Helvetica" w:hAnsi="Helvetica" w:cs="Helvetica"/>
        </w:rPr>
        <w:t xml:space="preserve">of </w:t>
      </w:r>
      <w:r w:rsidR="002A7200" w:rsidRPr="7706CFD1">
        <w:rPr>
          <w:rFonts w:ascii="Helvetica" w:hAnsi="Helvetica" w:cs="Helvetica"/>
        </w:rPr>
        <w:t xml:space="preserve">these </w:t>
      </w:r>
      <w:r w:rsidR="001B3F8C" w:rsidRPr="7706CFD1">
        <w:rPr>
          <w:rFonts w:ascii="Helvetica" w:hAnsi="Helvetica" w:cs="Helvetica"/>
        </w:rPr>
        <w:t xml:space="preserve">roles are undertaken by </w:t>
      </w:r>
      <w:r w:rsidR="00C1704D" w:rsidRPr="7706CFD1">
        <w:rPr>
          <w:rFonts w:ascii="Helvetica" w:hAnsi="Helvetica" w:cs="Helvetica"/>
        </w:rPr>
        <w:t xml:space="preserve">female staff. </w:t>
      </w:r>
      <w:r w:rsidR="00083B01" w:rsidRPr="7706CFD1">
        <w:rPr>
          <w:rFonts w:ascii="Helvetica" w:hAnsi="Helvetica" w:cs="Helvetica"/>
        </w:rPr>
        <w:t xml:space="preserve"> The largest population within this group is </w:t>
      </w:r>
      <w:r w:rsidR="000A4C67" w:rsidRPr="7706CFD1">
        <w:rPr>
          <w:rFonts w:ascii="Helvetica" w:hAnsi="Helvetica" w:cs="Helvetica"/>
        </w:rPr>
        <w:t xml:space="preserve">comprised of </w:t>
      </w:r>
      <w:r w:rsidR="00083B01" w:rsidRPr="7706CFD1">
        <w:rPr>
          <w:rFonts w:ascii="Helvetica" w:hAnsi="Helvetica" w:cs="Helvetica"/>
        </w:rPr>
        <w:t xml:space="preserve">Invigilators </w:t>
      </w:r>
      <w:r w:rsidR="00B77A97" w:rsidRPr="7706CFD1">
        <w:rPr>
          <w:rFonts w:ascii="Helvetica" w:hAnsi="Helvetica" w:cs="Helvetica"/>
        </w:rPr>
        <w:t xml:space="preserve">and </w:t>
      </w:r>
      <w:r w:rsidR="000E192C" w:rsidRPr="7706CFD1">
        <w:rPr>
          <w:rFonts w:ascii="Helvetica" w:hAnsi="Helvetica" w:cs="Helvetica"/>
        </w:rPr>
        <w:t>C</w:t>
      </w:r>
      <w:r w:rsidR="00B77A97" w:rsidRPr="7706CFD1">
        <w:rPr>
          <w:rFonts w:ascii="Helvetica" w:hAnsi="Helvetica" w:cs="Helvetica"/>
        </w:rPr>
        <w:t xml:space="preserve">leaners who make up </w:t>
      </w:r>
      <w:r w:rsidR="003D0D28" w:rsidRPr="7706CFD1">
        <w:rPr>
          <w:rFonts w:ascii="Helvetica" w:hAnsi="Helvetica" w:cs="Helvetica"/>
        </w:rPr>
        <w:t>54</w:t>
      </w:r>
      <w:r w:rsidR="005263D1" w:rsidRPr="7706CFD1">
        <w:rPr>
          <w:rFonts w:ascii="Helvetica" w:hAnsi="Helvetica" w:cs="Helvetica"/>
        </w:rPr>
        <w:t xml:space="preserve">% of this total group and </w:t>
      </w:r>
      <w:r w:rsidR="00A007E1" w:rsidRPr="7706CFD1">
        <w:rPr>
          <w:rFonts w:ascii="Helvetica" w:hAnsi="Helvetica" w:cs="Helvetica"/>
        </w:rPr>
        <w:t>8</w:t>
      </w:r>
      <w:r w:rsidR="006D15B8" w:rsidRPr="7706CFD1">
        <w:rPr>
          <w:rFonts w:ascii="Helvetica" w:hAnsi="Helvetica" w:cs="Helvetica"/>
        </w:rPr>
        <w:t>8.5</w:t>
      </w:r>
      <w:r w:rsidR="00A007E1" w:rsidRPr="7706CFD1">
        <w:rPr>
          <w:rFonts w:ascii="Helvetica" w:hAnsi="Helvetica" w:cs="Helvetica"/>
        </w:rPr>
        <w:t>% of that group are female.</w:t>
      </w:r>
    </w:p>
    <w:p w14:paraId="1B03B5C9" w14:textId="65ACF9FD" w:rsidR="00774309" w:rsidRPr="00BD7D7B" w:rsidRDefault="00782455" w:rsidP="004E0121">
      <w:pPr>
        <w:rPr>
          <w:rFonts w:ascii="Helvetica" w:hAnsi="Helvetica" w:cs="Helvetica"/>
        </w:rPr>
      </w:pPr>
      <w:r w:rsidRPr="7706CFD1">
        <w:rPr>
          <w:rFonts w:ascii="Helvetica" w:hAnsi="Helvetica" w:cs="Helvetica"/>
        </w:rPr>
        <w:t xml:space="preserve">Within the </w:t>
      </w:r>
      <w:r w:rsidR="00AE7C5A" w:rsidRPr="7706CFD1">
        <w:rPr>
          <w:rFonts w:ascii="Helvetica" w:hAnsi="Helvetica" w:cs="Helvetica"/>
        </w:rPr>
        <w:t>l</w:t>
      </w:r>
      <w:r w:rsidR="00073AD0" w:rsidRPr="7706CFD1">
        <w:rPr>
          <w:rFonts w:ascii="Helvetica" w:hAnsi="Helvetica" w:cs="Helvetica"/>
        </w:rPr>
        <w:t xml:space="preserve">ower </w:t>
      </w:r>
      <w:r w:rsidR="00AE7C5A" w:rsidRPr="7706CFD1">
        <w:rPr>
          <w:rFonts w:ascii="Helvetica" w:hAnsi="Helvetica" w:cs="Helvetica"/>
        </w:rPr>
        <w:t>m</w:t>
      </w:r>
      <w:r w:rsidR="00073AD0" w:rsidRPr="7706CFD1">
        <w:rPr>
          <w:rFonts w:ascii="Helvetica" w:hAnsi="Helvetica" w:cs="Helvetica"/>
        </w:rPr>
        <w:t>iddle</w:t>
      </w:r>
      <w:r w:rsidRPr="7706CFD1">
        <w:rPr>
          <w:rFonts w:ascii="Helvetica" w:hAnsi="Helvetica" w:cs="Helvetica"/>
        </w:rPr>
        <w:t xml:space="preserve"> quartile, there </w:t>
      </w:r>
      <w:r w:rsidR="001B3F8C" w:rsidRPr="7706CFD1">
        <w:rPr>
          <w:rFonts w:ascii="Helvetica" w:hAnsi="Helvetica" w:cs="Helvetica"/>
        </w:rPr>
        <w:t xml:space="preserve">is a </w:t>
      </w:r>
      <w:r w:rsidR="007A3F89" w:rsidRPr="7706CFD1">
        <w:rPr>
          <w:rFonts w:ascii="Helvetica" w:hAnsi="Helvetica" w:cs="Helvetica"/>
        </w:rPr>
        <w:t xml:space="preserve">mix of </w:t>
      </w:r>
      <w:r w:rsidR="00AE7C5A" w:rsidRPr="7706CFD1">
        <w:rPr>
          <w:rFonts w:ascii="Helvetica" w:hAnsi="Helvetica" w:cs="Helvetica"/>
        </w:rPr>
        <w:t>diverse</w:t>
      </w:r>
      <w:r w:rsidR="007A3F89" w:rsidRPr="7706CFD1">
        <w:rPr>
          <w:rFonts w:ascii="Helvetica" w:hAnsi="Helvetica" w:cs="Helvetica"/>
        </w:rPr>
        <w:t xml:space="preserve"> roles </w:t>
      </w:r>
      <w:r w:rsidR="00712A39" w:rsidRPr="7706CFD1">
        <w:rPr>
          <w:rFonts w:ascii="Helvetica" w:hAnsi="Helvetica" w:cs="Helvetica"/>
        </w:rPr>
        <w:t>e.g.</w:t>
      </w:r>
      <w:r w:rsidR="001B3F8C" w:rsidRPr="7706CFD1">
        <w:rPr>
          <w:rFonts w:ascii="Helvetica" w:hAnsi="Helvetica" w:cs="Helvetica"/>
        </w:rPr>
        <w:t xml:space="preserve">, </w:t>
      </w:r>
      <w:r w:rsidR="00F73931" w:rsidRPr="7706CFD1">
        <w:rPr>
          <w:rFonts w:ascii="Helvetica" w:hAnsi="Helvetica" w:cs="Helvetica"/>
        </w:rPr>
        <w:t xml:space="preserve">Cover Supervisor, </w:t>
      </w:r>
      <w:r w:rsidR="001B3F8C" w:rsidRPr="7706CFD1">
        <w:rPr>
          <w:rFonts w:ascii="Helvetica" w:hAnsi="Helvetica" w:cs="Helvetica"/>
        </w:rPr>
        <w:t>Technician</w:t>
      </w:r>
      <w:r w:rsidR="3D3765A1" w:rsidRPr="7706CFD1">
        <w:rPr>
          <w:rFonts w:ascii="Helvetica" w:hAnsi="Helvetica" w:cs="Helvetica"/>
        </w:rPr>
        <w:t xml:space="preserve">s, higher level </w:t>
      </w:r>
      <w:r w:rsidR="00F73931" w:rsidRPr="7706CFD1">
        <w:rPr>
          <w:rFonts w:ascii="Helvetica" w:hAnsi="Helvetica" w:cs="Helvetica"/>
        </w:rPr>
        <w:t>Administrat</w:t>
      </w:r>
      <w:r w:rsidR="285EBD15" w:rsidRPr="7706CFD1">
        <w:rPr>
          <w:rFonts w:ascii="Helvetica" w:hAnsi="Helvetica" w:cs="Helvetica"/>
        </w:rPr>
        <w:t>ors</w:t>
      </w:r>
      <w:r w:rsidR="00F73931" w:rsidRPr="7706CFD1">
        <w:rPr>
          <w:rFonts w:ascii="Helvetica" w:hAnsi="Helvetica" w:cs="Helvetica"/>
        </w:rPr>
        <w:t xml:space="preserve">, </w:t>
      </w:r>
      <w:r w:rsidR="002A7200" w:rsidRPr="7706CFD1">
        <w:rPr>
          <w:rFonts w:ascii="Helvetica" w:hAnsi="Helvetica" w:cs="Helvetica"/>
        </w:rPr>
        <w:t>Librarian</w:t>
      </w:r>
      <w:r w:rsidR="78629B9E" w:rsidRPr="7706CFD1">
        <w:rPr>
          <w:rFonts w:ascii="Helvetica" w:hAnsi="Helvetica" w:cs="Helvetica"/>
        </w:rPr>
        <w:t>s</w:t>
      </w:r>
      <w:r w:rsidR="002A7200" w:rsidRPr="7706CFD1">
        <w:rPr>
          <w:rFonts w:ascii="Helvetica" w:hAnsi="Helvetica" w:cs="Helvetica"/>
        </w:rPr>
        <w:t xml:space="preserve"> and </w:t>
      </w:r>
      <w:r w:rsidR="00774309" w:rsidRPr="7706CFD1">
        <w:rPr>
          <w:rFonts w:ascii="Helvetica" w:hAnsi="Helvetica" w:cs="Helvetica"/>
        </w:rPr>
        <w:t>Pastoral roles</w:t>
      </w:r>
      <w:r w:rsidR="00FC43F5" w:rsidRPr="7706CFD1">
        <w:rPr>
          <w:rFonts w:ascii="Helvetica" w:hAnsi="Helvetica" w:cs="Helvetica"/>
        </w:rPr>
        <w:t xml:space="preserve">. </w:t>
      </w:r>
      <w:r w:rsidR="00B00AE3" w:rsidRPr="7706CFD1">
        <w:rPr>
          <w:rFonts w:ascii="Helvetica" w:hAnsi="Helvetica" w:cs="Helvetica"/>
        </w:rPr>
        <w:t>Female staff undertake a higher proportion of these roles</w:t>
      </w:r>
      <w:r w:rsidR="00AF519E" w:rsidRPr="7706CFD1">
        <w:rPr>
          <w:rFonts w:ascii="Helvetica" w:hAnsi="Helvetica" w:cs="Helvetica"/>
        </w:rPr>
        <w:t xml:space="preserve">. </w:t>
      </w:r>
    </w:p>
    <w:p w14:paraId="6C77BDCB" w14:textId="15F519B0" w:rsidR="00782455" w:rsidRPr="00BD7D7B" w:rsidRDefault="00774309" w:rsidP="004E0121">
      <w:pPr>
        <w:rPr>
          <w:rFonts w:ascii="Helvetica" w:hAnsi="Helvetica" w:cs="Helvetica"/>
        </w:rPr>
      </w:pPr>
      <w:r w:rsidRPr="7706CFD1">
        <w:rPr>
          <w:rFonts w:ascii="Helvetica" w:hAnsi="Helvetica" w:cs="Helvetica"/>
        </w:rPr>
        <w:lastRenderedPageBreak/>
        <w:t xml:space="preserve">Within </w:t>
      </w:r>
      <w:r w:rsidR="00044B83" w:rsidRPr="7706CFD1">
        <w:rPr>
          <w:rFonts w:ascii="Helvetica" w:hAnsi="Helvetica" w:cs="Helvetica"/>
        </w:rPr>
        <w:t xml:space="preserve">the </w:t>
      </w:r>
      <w:r w:rsidR="001B3F8C" w:rsidRPr="7706CFD1">
        <w:rPr>
          <w:rFonts w:ascii="Helvetica" w:hAnsi="Helvetica" w:cs="Helvetica"/>
        </w:rPr>
        <w:t>upper middle quartile, roles include</w:t>
      </w:r>
      <w:r w:rsidR="002A7200" w:rsidRPr="7706CFD1">
        <w:rPr>
          <w:rFonts w:ascii="Helvetica" w:hAnsi="Helvetica" w:cs="Helvetica"/>
        </w:rPr>
        <w:t xml:space="preserve"> </w:t>
      </w:r>
      <w:r w:rsidR="001B3F8C" w:rsidRPr="7706CFD1">
        <w:rPr>
          <w:rFonts w:ascii="Helvetica" w:hAnsi="Helvetica" w:cs="Helvetica"/>
        </w:rPr>
        <w:t>Teachers</w:t>
      </w:r>
      <w:r w:rsidRPr="7706CFD1">
        <w:rPr>
          <w:rFonts w:ascii="Helvetica" w:hAnsi="Helvetica" w:cs="Helvetica"/>
        </w:rPr>
        <w:t xml:space="preserve">, </w:t>
      </w:r>
      <w:r w:rsidR="00280E6B" w:rsidRPr="7706CFD1">
        <w:rPr>
          <w:rFonts w:ascii="Helvetica" w:hAnsi="Helvetica" w:cs="Helvetica"/>
        </w:rPr>
        <w:t>SENCO</w:t>
      </w:r>
      <w:r w:rsidR="3B05B83D" w:rsidRPr="7706CFD1">
        <w:rPr>
          <w:rFonts w:ascii="Helvetica" w:hAnsi="Helvetica" w:cs="Helvetica"/>
        </w:rPr>
        <w:t>s</w:t>
      </w:r>
      <w:r w:rsidR="00280E6B" w:rsidRPr="7706CFD1">
        <w:rPr>
          <w:rFonts w:ascii="Helvetica" w:hAnsi="Helvetica" w:cs="Helvetica"/>
        </w:rPr>
        <w:t>,</w:t>
      </w:r>
      <w:r w:rsidR="001B3F8C" w:rsidRPr="7706CFD1">
        <w:rPr>
          <w:rFonts w:ascii="Helvetica" w:hAnsi="Helvetica" w:cs="Helvetica"/>
        </w:rPr>
        <w:t xml:space="preserve"> and Subject Leaders. Within these quartiles collectively, </w:t>
      </w:r>
      <w:r w:rsidR="00B10037" w:rsidRPr="7706CFD1">
        <w:rPr>
          <w:rFonts w:ascii="Helvetica" w:hAnsi="Helvetica" w:cs="Helvetica"/>
        </w:rPr>
        <w:t>6</w:t>
      </w:r>
      <w:r w:rsidR="00202460" w:rsidRPr="7706CFD1">
        <w:rPr>
          <w:rFonts w:ascii="Helvetica" w:hAnsi="Helvetica" w:cs="Helvetica"/>
        </w:rPr>
        <w:t>8.4</w:t>
      </w:r>
      <w:r w:rsidR="00B10037" w:rsidRPr="7706CFD1">
        <w:rPr>
          <w:rFonts w:ascii="Helvetica" w:hAnsi="Helvetica" w:cs="Helvetica"/>
        </w:rPr>
        <w:t xml:space="preserve">% of </w:t>
      </w:r>
      <w:r w:rsidR="001B3F8C" w:rsidRPr="7706CFD1">
        <w:rPr>
          <w:rFonts w:ascii="Helvetica" w:hAnsi="Helvetica" w:cs="Helvetica"/>
        </w:rPr>
        <w:t xml:space="preserve">these roles are occupied by females compared to </w:t>
      </w:r>
      <w:r w:rsidR="00772B5E" w:rsidRPr="7706CFD1">
        <w:rPr>
          <w:rFonts w:ascii="Helvetica" w:hAnsi="Helvetica" w:cs="Helvetica"/>
        </w:rPr>
        <w:t xml:space="preserve">only </w:t>
      </w:r>
      <w:r w:rsidR="00B10037" w:rsidRPr="7706CFD1">
        <w:rPr>
          <w:rFonts w:ascii="Helvetica" w:hAnsi="Helvetica" w:cs="Helvetica"/>
        </w:rPr>
        <w:t>3</w:t>
      </w:r>
      <w:r w:rsidR="00A477BA" w:rsidRPr="7706CFD1">
        <w:rPr>
          <w:rFonts w:ascii="Helvetica" w:hAnsi="Helvetica" w:cs="Helvetica"/>
        </w:rPr>
        <w:t>1.6</w:t>
      </w:r>
      <w:r w:rsidR="00B10037" w:rsidRPr="7706CFD1">
        <w:rPr>
          <w:rFonts w:ascii="Helvetica" w:hAnsi="Helvetica" w:cs="Helvetica"/>
        </w:rPr>
        <w:t xml:space="preserve">% of </w:t>
      </w:r>
      <w:r w:rsidR="001B3F8C" w:rsidRPr="7706CFD1">
        <w:rPr>
          <w:rFonts w:ascii="Helvetica" w:hAnsi="Helvetica" w:cs="Helvetica"/>
        </w:rPr>
        <w:t>male employees</w:t>
      </w:r>
      <w:r w:rsidR="00AF519E" w:rsidRPr="7706CFD1">
        <w:rPr>
          <w:rFonts w:ascii="Helvetica" w:hAnsi="Helvetica" w:cs="Helvetica"/>
        </w:rPr>
        <w:t xml:space="preserve">. </w:t>
      </w:r>
    </w:p>
    <w:p w14:paraId="5B4144AF" w14:textId="4C9BBC32" w:rsidR="006D0BB2" w:rsidRPr="00BD7D7B" w:rsidRDefault="00B35A51" w:rsidP="004E0121">
      <w:pPr>
        <w:rPr>
          <w:rFonts w:ascii="Helvetica" w:hAnsi="Helvetica" w:cs="Helvetica"/>
        </w:rPr>
      </w:pPr>
      <w:r w:rsidRPr="7706CFD1">
        <w:rPr>
          <w:rFonts w:ascii="Helvetica" w:hAnsi="Helvetica" w:cs="Helvetica"/>
        </w:rPr>
        <w:t>There is a higher proportion of males</w:t>
      </w:r>
      <w:r w:rsidR="00044B83" w:rsidRPr="7706CFD1">
        <w:rPr>
          <w:rFonts w:ascii="Helvetica" w:hAnsi="Helvetica" w:cs="Helvetica"/>
        </w:rPr>
        <w:t xml:space="preserve">, </w:t>
      </w:r>
      <w:r w:rsidR="006D0BB2" w:rsidRPr="7706CFD1">
        <w:rPr>
          <w:rFonts w:ascii="Helvetica" w:hAnsi="Helvetica" w:cs="Helvetica"/>
        </w:rPr>
        <w:t>4</w:t>
      </w:r>
      <w:r w:rsidR="00D34610" w:rsidRPr="7706CFD1">
        <w:rPr>
          <w:rFonts w:ascii="Helvetica" w:hAnsi="Helvetica" w:cs="Helvetica"/>
        </w:rPr>
        <w:t>3.6</w:t>
      </w:r>
      <w:r w:rsidR="006D0BB2" w:rsidRPr="7706CFD1">
        <w:rPr>
          <w:rFonts w:ascii="Helvetica" w:hAnsi="Helvetica" w:cs="Helvetica"/>
        </w:rPr>
        <w:t>%</w:t>
      </w:r>
      <w:r w:rsidR="00044B83" w:rsidRPr="7706CFD1">
        <w:rPr>
          <w:rFonts w:ascii="Helvetica" w:hAnsi="Helvetica" w:cs="Helvetica"/>
        </w:rPr>
        <w:t>,</w:t>
      </w:r>
      <w:r w:rsidR="006D0BB2" w:rsidRPr="7706CFD1">
        <w:rPr>
          <w:rFonts w:ascii="Helvetica" w:hAnsi="Helvetica" w:cs="Helvetica"/>
        </w:rPr>
        <w:t xml:space="preserve"> </w:t>
      </w:r>
      <w:r w:rsidR="00044B83" w:rsidRPr="7706CFD1">
        <w:rPr>
          <w:rFonts w:ascii="Helvetica" w:hAnsi="Helvetica" w:cs="Helvetica"/>
        </w:rPr>
        <w:t xml:space="preserve">in the upper quartile </w:t>
      </w:r>
      <w:r w:rsidR="001B3F8C" w:rsidRPr="7706CFD1">
        <w:rPr>
          <w:rFonts w:ascii="Helvetica" w:hAnsi="Helvetica" w:cs="Helvetica"/>
        </w:rPr>
        <w:t xml:space="preserve">compared to </w:t>
      </w:r>
      <w:r w:rsidR="00EB3D76" w:rsidRPr="7706CFD1">
        <w:rPr>
          <w:rFonts w:ascii="Helvetica" w:hAnsi="Helvetica" w:cs="Helvetica"/>
        </w:rPr>
        <w:t>only</w:t>
      </w:r>
      <w:r w:rsidR="00D24DAC" w:rsidRPr="7706CFD1">
        <w:rPr>
          <w:rFonts w:ascii="Helvetica" w:hAnsi="Helvetica" w:cs="Helvetica"/>
        </w:rPr>
        <w:t xml:space="preserve"> 2</w:t>
      </w:r>
      <w:r w:rsidR="00583A8E" w:rsidRPr="7706CFD1">
        <w:rPr>
          <w:rFonts w:ascii="Helvetica" w:hAnsi="Helvetica" w:cs="Helvetica"/>
        </w:rPr>
        <w:t>6.9</w:t>
      </w:r>
      <w:r w:rsidR="00D24DAC" w:rsidRPr="7706CFD1">
        <w:rPr>
          <w:rFonts w:ascii="Helvetica" w:hAnsi="Helvetica" w:cs="Helvetica"/>
        </w:rPr>
        <w:t>% in the lower middle and</w:t>
      </w:r>
      <w:r w:rsidR="00247405" w:rsidRPr="7706CFD1">
        <w:rPr>
          <w:rFonts w:ascii="Helvetica" w:hAnsi="Helvetica" w:cs="Helvetica"/>
        </w:rPr>
        <w:t xml:space="preserve"> the</w:t>
      </w:r>
      <w:r w:rsidR="00D24DAC" w:rsidRPr="7706CFD1">
        <w:rPr>
          <w:rFonts w:ascii="Helvetica" w:hAnsi="Helvetica" w:cs="Helvetica"/>
        </w:rPr>
        <w:t xml:space="preserve"> lower quartile</w:t>
      </w:r>
      <w:r w:rsidR="00247405" w:rsidRPr="7706CFD1">
        <w:rPr>
          <w:rFonts w:ascii="Helvetica" w:hAnsi="Helvetica" w:cs="Helvetica"/>
        </w:rPr>
        <w:t>,</w:t>
      </w:r>
      <w:r w:rsidR="00D24DAC" w:rsidRPr="7706CFD1">
        <w:rPr>
          <w:rFonts w:ascii="Helvetica" w:hAnsi="Helvetica" w:cs="Helvetica"/>
        </w:rPr>
        <w:t xml:space="preserve"> where there are only</w:t>
      </w:r>
      <w:r w:rsidR="00EB3D76" w:rsidRPr="7706CFD1">
        <w:rPr>
          <w:rFonts w:ascii="Helvetica" w:hAnsi="Helvetica" w:cs="Helvetica"/>
        </w:rPr>
        <w:t xml:space="preserve"> </w:t>
      </w:r>
      <w:r w:rsidR="000E004F" w:rsidRPr="7706CFD1">
        <w:rPr>
          <w:rFonts w:ascii="Helvetica" w:hAnsi="Helvetica" w:cs="Helvetica"/>
        </w:rPr>
        <w:t>2</w:t>
      </w:r>
      <w:r w:rsidR="008D41DA" w:rsidRPr="7706CFD1">
        <w:rPr>
          <w:rFonts w:ascii="Helvetica" w:hAnsi="Helvetica" w:cs="Helvetica"/>
        </w:rPr>
        <w:t>2.3</w:t>
      </w:r>
      <w:r w:rsidR="00044B83" w:rsidRPr="7706CFD1">
        <w:rPr>
          <w:rFonts w:ascii="Helvetica" w:hAnsi="Helvetica" w:cs="Helvetica"/>
        </w:rPr>
        <w:t>% of males</w:t>
      </w:r>
      <w:r w:rsidR="00D24DAC" w:rsidRPr="7706CFD1">
        <w:rPr>
          <w:rFonts w:ascii="Helvetica" w:hAnsi="Helvetica" w:cs="Helvetica"/>
        </w:rPr>
        <w:t>.</w:t>
      </w:r>
      <w:r w:rsidR="00AF519E" w:rsidRPr="7706CFD1">
        <w:rPr>
          <w:rFonts w:ascii="Helvetica" w:hAnsi="Helvetica" w:cs="Helvetica"/>
        </w:rPr>
        <w:t xml:space="preserve"> </w:t>
      </w:r>
      <w:r w:rsidR="00044B83" w:rsidRPr="7706CFD1">
        <w:rPr>
          <w:rFonts w:ascii="Helvetica" w:hAnsi="Helvetica" w:cs="Helvetica"/>
        </w:rPr>
        <w:t xml:space="preserve">Roles within this quartile </w:t>
      </w:r>
      <w:r w:rsidR="00247405" w:rsidRPr="7706CFD1">
        <w:rPr>
          <w:rFonts w:ascii="Helvetica" w:hAnsi="Helvetica" w:cs="Helvetica"/>
        </w:rPr>
        <w:t>include</w:t>
      </w:r>
      <w:r w:rsidR="00044B83" w:rsidRPr="7706CFD1">
        <w:rPr>
          <w:rFonts w:ascii="Helvetica" w:hAnsi="Helvetica" w:cs="Helvetica"/>
        </w:rPr>
        <w:t xml:space="preserve"> </w:t>
      </w:r>
      <w:r w:rsidR="00C33DB4" w:rsidRPr="7706CFD1">
        <w:rPr>
          <w:rFonts w:ascii="Helvetica" w:hAnsi="Helvetica" w:cs="Helvetica"/>
        </w:rPr>
        <w:t xml:space="preserve">Heads, </w:t>
      </w:r>
      <w:r w:rsidR="1694295A" w:rsidRPr="7706CFD1">
        <w:rPr>
          <w:rFonts w:ascii="Helvetica" w:hAnsi="Helvetica" w:cs="Helvetica"/>
        </w:rPr>
        <w:t xml:space="preserve">Deputy Heads, </w:t>
      </w:r>
      <w:r w:rsidR="00044B83" w:rsidRPr="7706CFD1">
        <w:rPr>
          <w:rFonts w:ascii="Helvetica" w:hAnsi="Helvetica" w:cs="Helvetica"/>
        </w:rPr>
        <w:t>Director</w:t>
      </w:r>
      <w:r w:rsidR="00ED35ED" w:rsidRPr="7706CFD1">
        <w:rPr>
          <w:rFonts w:ascii="Helvetica" w:hAnsi="Helvetica" w:cs="Helvetica"/>
        </w:rPr>
        <w:t>s</w:t>
      </w:r>
      <w:r w:rsidR="5E09696A" w:rsidRPr="7706CFD1">
        <w:rPr>
          <w:rFonts w:ascii="Helvetica" w:hAnsi="Helvetica" w:cs="Helvetica"/>
        </w:rPr>
        <w:t xml:space="preserve">, </w:t>
      </w:r>
      <w:r w:rsidR="00044B83" w:rsidRPr="7706CFD1">
        <w:rPr>
          <w:rFonts w:ascii="Helvetica" w:hAnsi="Helvetica" w:cs="Helvetica"/>
        </w:rPr>
        <w:t>Assistant Head</w:t>
      </w:r>
      <w:r w:rsidR="00ED35ED" w:rsidRPr="7706CFD1">
        <w:rPr>
          <w:rFonts w:ascii="Helvetica" w:hAnsi="Helvetica" w:cs="Helvetica"/>
        </w:rPr>
        <w:t>s</w:t>
      </w:r>
      <w:r w:rsidR="00FC6075" w:rsidRPr="7706CFD1">
        <w:rPr>
          <w:rFonts w:ascii="Helvetica" w:hAnsi="Helvetica" w:cs="Helvetica"/>
        </w:rPr>
        <w:t>,</w:t>
      </w:r>
      <w:r w:rsidR="00381B29" w:rsidRPr="7706CFD1">
        <w:rPr>
          <w:rFonts w:ascii="Helvetica" w:hAnsi="Helvetica" w:cs="Helvetica"/>
        </w:rPr>
        <w:t xml:space="preserve"> </w:t>
      </w:r>
      <w:r w:rsidR="2BCEC6FA" w:rsidRPr="7706CFD1">
        <w:rPr>
          <w:rFonts w:ascii="Helvetica" w:hAnsi="Helvetica" w:cs="Helvetica"/>
        </w:rPr>
        <w:t>H</w:t>
      </w:r>
      <w:r w:rsidR="00044B83" w:rsidRPr="7706CFD1">
        <w:rPr>
          <w:rFonts w:ascii="Helvetica" w:hAnsi="Helvetica" w:cs="Helvetica"/>
        </w:rPr>
        <w:t>ead</w:t>
      </w:r>
      <w:r w:rsidR="00381B29" w:rsidRPr="7706CFD1">
        <w:rPr>
          <w:rFonts w:ascii="Helvetica" w:hAnsi="Helvetica" w:cs="Helvetica"/>
        </w:rPr>
        <w:t xml:space="preserve">s </w:t>
      </w:r>
      <w:r w:rsidR="00044B83" w:rsidRPr="7706CFD1">
        <w:rPr>
          <w:rFonts w:ascii="Helvetica" w:hAnsi="Helvetica" w:cs="Helvetica"/>
        </w:rPr>
        <w:t>of Subject</w:t>
      </w:r>
      <w:r w:rsidR="00C85F70" w:rsidRPr="7706CFD1">
        <w:rPr>
          <w:rFonts w:ascii="Helvetica" w:hAnsi="Helvetica" w:cs="Helvetica"/>
        </w:rPr>
        <w:t xml:space="preserve"> </w:t>
      </w:r>
      <w:r w:rsidR="009115C6" w:rsidRPr="7706CFD1">
        <w:rPr>
          <w:rFonts w:ascii="Helvetica" w:hAnsi="Helvetica" w:cs="Helvetica"/>
        </w:rPr>
        <w:t>and Visiting Music Teachers</w:t>
      </w:r>
      <w:r w:rsidR="7C2E238F" w:rsidRPr="7706CFD1">
        <w:rPr>
          <w:rFonts w:ascii="Helvetica" w:hAnsi="Helvetica" w:cs="Helvetica"/>
        </w:rPr>
        <w:t>.</w:t>
      </w:r>
    </w:p>
    <w:p w14:paraId="482DA36C" w14:textId="04C15F07" w:rsidR="00FE2F11" w:rsidRPr="00BD7D7B" w:rsidRDefault="00FE2F11" w:rsidP="00051725">
      <w:pPr>
        <w:rPr>
          <w:rFonts w:ascii="Helvetica" w:hAnsi="Helvetica" w:cs="Helvetica"/>
          <w:b/>
        </w:rPr>
      </w:pPr>
    </w:p>
    <w:p w14:paraId="7C4A07EE" w14:textId="4880B424" w:rsidR="00FE2F11" w:rsidRPr="00BD7D7B" w:rsidRDefault="0097347D" w:rsidP="00051725">
      <w:pPr>
        <w:rPr>
          <w:rFonts w:ascii="Helvetica" w:hAnsi="Helvetica" w:cs="Helvetica"/>
          <w:b/>
        </w:rPr>
      </w:pPr>
      <w:r w:rsidRPr="00BD7D7B">
        <w:rPr>
          <w:rFonts w:ascii="Helvetica" w:hAnsi="Helvetica" w:cs="Helvetica"/>
          <w:b/>
        </w:rPr>
        <w:t>Gender Pay by School Structure</w:t>
      </w:r>
    </w:p>
    <w:p w14:paraId="0BCDC29E" w14:textId="7AF3128F" w:rsidR="0097347D" w:rsidRPr="00BD7D7B" w:rsidRDefault="0097347D" w:rsidP="00051725">
      <w:pPr>
        <w:rPr>
          <w:rFonts w:ascii="Helvetica" w:hAnsi="Helvetica" w:cs="Helvetica"/>
          <w:bCs/>
        </w:rPr>
      </w:pPr>
      <w:r w:rsidRPr="7706CFD1">
        <w:rPr>
          <w:rFonts w:ascii="Helvetica" w:hAnsi="Helvetica" w:cs="Helvetica"/>
        </w:rPr>
        <w:t xml:space="preserve">The </w:t>
      </w:r>
      <w:r w:rsidR="003213FA" w:rsidRPr="7706CFD1">
        <w:rPr>
          <w:rFonts w:ascii="Helvetica" w:hAnsi="Helvetica" w:cs="Helvetica"/>
        </w:rPr>
        <w:t xml:space="preserve">Academy Trust </w:t>
      </w:r>
      <w:r w:rsidRPr="7706CFD1">
        <w:rPr>
          <w:rFonts w:ascii="Helvetica" w:hAnsi="Helvetica" w:cs="Helvetica"/>
        </w:rPr>
        <w:t xml:space="preserve">has analysed the gender pay gap broken down by school structure and the gender pay gap for schools is as follows: </w:t>
      </w:r>
    </w:p>
    <w:p w14:paraId="70D5D643" w14:textId="77777777" w:rsidR="0097347D" w:rsidRPr="00BD7D7B" w:rsidRDefault="0097347D" w:rsidP="00051725">
      <w:pPr>
        <w:rPr>
          <w:rFonts w:ascii="Helvetica" w:hAnsi="Helvetica" w:cs="Helvetica"/>
          <w:b/>
        </w:rPr>
      </w:pPr>
    </w:p>
    <w:tbl>
      <w:tblPr>
        <w:tblStyle w:val="TableGrid"/>
        <w:tblW w:w="0" w:type="auto"/>
        <w:tblLook w:val="04A0" w:firstRow="1" w:lastRow="0" w:firstColumn="1" w:lastColumn="0" w:noHBand="0" w:noVBand="1"/>
      </w:tblPr>
      <w:tblGrid>
        <w:gridCol w:w="2346"/>
        <w:gridCol w:w="1865"/>
        <w:gridCol w:w="1865"/>
        <w:gridCol w:w="2141"/>
        <w:gridCol w:w="2239"/>
      </w:tblGrid>
      <w:tr w:rsidR="00FC3261" w:rsidRPr="00BD7D7B" w14:paraId="7A1BBC18" w14:textId="77777777" w:rsidTr="7706CFD1">
        <w:trPr>
          <w:trHeight w:val="468"/>
        </w:trPr>
        <w:tc>
          <w:tcPr>
            <w:tcW w:w="2346" w:type="dxa"/>
            <w:shd w:val="clear" w:color="auto" w:fill="44546A" w:themeFill="text2"/>
          </w:tcPr>
          <w:p w14:paraId="714C0914" w14:textId="4B143990" w:rsidR="00FC3261" w:rsidRPr="00BD7D7B" w:rsidRDefault="00FC3261" w:rsidP="00F73590">
            <w:pPr>
              <w:jc w:val="center"/>
              <w:rPr>
                <w:rFonts w:ascii="Helvetica" w:hAnsi="Helvetica" w:cs="Helvetica"/>
                <w:b/>
                <w:color w:val="FFFFFF" w:themeColor="background1"/>
              </w:rPr>
            </w:pPr>
            <w:r w:rsidRPr="00BD7D7B">
              <w:rPr>
                <w:rFonts w:ascii="Helvetica" w:hAnsi="Helvetica" w:cs="Helvetica"/>
                <w:b/>
                <w:color w:val="FFFFFF" w:themeColor="background1"/>
              </w:rPr>
              <w:t>Structure</w:t>
            </w:r>
          </w:p>
        </w:tc>
        <w:tc>
          <w:tcPr>
            <w:tcW w:w="1865" w:type="dxa"/>
            <w:shd w:val="clear" w:color="auto" w:fill="44546A" w:themeFill="text2"/>
          </w:tcPr>
          <w:p w14:paraId="1FE4011F" w14:textId="09D9AA47" w:rsidR="00FC3261" w:rsidRPr="00BD7D7B" w:rsidRDefault="00FC3261" w:rsidP="0097347D">
            <w:pPr>
              <w:jc w:val="center"/>
              <w:rPr>
                <w:rFonts w:ascii="Helvetica" w:hAnsi="Helvetica" w:cs="Helvetica"/>
                <w:b/>
                <w:color w:val="FFFFFF" w:themeColor="background1"/>
              </w:rPr>
            </w:pPr>
            <w:r w:rsidRPr="00BD7D7B">
              <w:rPr>
                <w:rFonts w:ascii="Helvetica" w:hAnsi="Helvetica" w:cs="Helvetica"/>
                <w:b/>
                <w:color w:val="FFFFFF" w:themeColor="background1"/>
              </w:rPr>
              <w:t>Males</w:t>
            </w:r>
          </w:p>
        </w:tc>
        <w:tc>
          <w:tcPr>
            <w:tcW w:w="1865" w:type="dxa"/>
            <w:shd w:val="clear" w:color="auto" w:fill="44546A" w:themeFill="text2"/>
          </w:tcPr>
          <w:p w14:paraId="090BB391" w14:textId="1A017D71" w:rsidR="00FC3261" w:rsidRPr="00BD7D7B" w:rsidRDefault="00FC3261" w:rsidP="0097347D">
            <w:pPr>
              <w:jc w:val="center"/>
              <w:rPr>
                <w:rFonts w:ascii="Helvetica" w:hAnsi="Helvetica" w:cs="Helvetica"/>
                <w:b/>
                <w:color w:val="FFFFFF" w:themeColor="background1"/>
              </w:rPr>
            </w:pPr>
            <w:r w:rsidRPr="00BD7D7B">
              <w:rPr>
                <w:rFonts w:ascii="Helvetica" w:hAnsi="Helvetica" w:cs="Helvetica"/>
                <w:b/>
                <w:color w:val="FFFFFF" w:themeColor="background1"/>
              </w:rPr>
              <w:t>Females</w:t>
            </w:r>
          </w:p>
        </w:tc>
        <w:tc>
          <w:tcPr>
            <w:tcW w:w="2141" w:type="dxa"/>
            <w:shd w:val="clear" w:color="auto" w:fill="44546A" w:themeFill="text2"/>
          </w:tcPr>
          <w:p w14:paraId="0D0531F7" w14:textId="311C1686" w:rsidR="00FC3261" w:rsidRPr="00BD7D7B" w:rsidRDefault="00FC3261" w:rsidP="00F73590">
            <w:pPr>
              <w:jc w:val="center"/>
              <w:rPr>
                <w:rFonts w:ascii="Helvetica" w:hAnsi="Helvetica" w:cs="Helvetica"/>
                <w:b/>
                <w:color w:val="FFFFFF" w:themeColor="background1"/>
              </w:rPr>
            </w:pPr>
            <w:r w:rsidRPr="00BD7D7B">
              <w:rPr>
                <w:rFonts w:ascii="Helvetica" w:hAnsi="Helvetica" w:cs="Helvetica"/>
                <w:b/>
                <w:color w:val="FFFFFF" w:themeColor="background1"/>
              </w:rPr>
              <w:t>Mean % 202</w:t>
            </w:r>
            <w:r w:rsidR="000134CE" w:rsidRPr="00BD7D7B">
              <w:rPr>
                <w:rFonts w:ascii="Helvetica" w:hAnsi="Helvetica" w:cs="Helvetica"/>
                <w:b/>
                <w:color w:val="FFFFFF" w:themeColor="background1"/>
              </w:rPr>
              <w:t>3</w:t>
            </w:r>
          </w:p>
        </w:tc>
        <w:tc>
          <w:tcPr>
            <w:tcW w:w="2239" w:type="dxa"/>
            <w:shd w:val="clear" w:color="auto" w:fill="44546A" w:themeFill="text2"/>
          </w:tcPr>
          <w:p w14:paraId="1B5A8136" w14:textId="0131795F" w:rsidR="00FC3261" w:rsidRPr="00BD7D7B" w:rsidRDefault="00FC3261" w:rsidP="00F73590">
            <w:pPr>
              <w:jc w:val="center"/>
              <w:rPr>
                <w:rFonts w:ascii="Helvetica" w:hAnsi="Helvetica" w:cs="Helvetica"/>
                <w:b/>
                <w:color w:val="FFFFFF" w:themeColor="background1"/>
              </w:rPr>
            </w:pPr>
            <w:r w:rsidRPr="00BD7D7B">
              <w:rPr>
                <w:rFonts w:ascii="Helvetica" w:hAnsi="Helvetica" w:cs="Helvetica"/>
                <w:b/>
                <w:color w:val="FFFFFF" w:themeColor="background1"/>
              </w:rPr>
              <w:t>Median % 202</w:t>
            </w:r>
            <w:r w:rsidR="00816262" w:rsidRPr="00BD7D7B">
              <w:rPr>
                <w:rFonts w:ascii="Helvetica" w:hAnsi="Helvetica" w:cs="Helvetica"/>
                <w:b/>
                <w:color w:val="FFFFFF" w:themeColor="background1"/>
              </w:rPr>
              <w:t>3</w:t>
            </w:r>
            <w:r w:rsidR="005F360B" w:rsidRPr="00BD7D7B">
              <w:rPr>
                <w:rFonts w:ascii="Helvetica" w:hAnsi="Helvetica" w:cs="Helvetica"/>
                <w:b/>
                <w:color w:val="FFFFFF" w:themeColor="background1"/>
              </w:rPr>
              <w:t xml:space="preserve"> </w:t>
            </w:r>
          </w:p>
        </w:tc>
      </w:tr>
      <w:tr w:rsidR="00FC3261" w:rsidRPr="00BD7D7B" w14:paraId="18913BB5" w14:textId="77777777" w:rsidTr="7706CFD1">
        <w:tc>
          <w:tcPr>
            <w:tcW w:w="2346" w:type="dxa"/>
          </w:tcPr>
          <w:p w14:paraId="150BEFDD" w14:textId="174FA05E" w:rsidR="00FC3261" w:rsidRPr="00BD7D7B" w:rsidRDefault="00FC3261" w:rsidP="00051725">
            <w:pPr>
              <w:rPr>
                <w:rFonts w:ascii="Helvetica" w:hAnsi="Helvetica" w:cs="Helvetica"/>
                <w:bCs/>
              </w:rPr>
            </w:pPr>
            <w:r w:rsidRPr="7706CFD1">
              <w:rPr>
                <w:rFonts w:ascii="Helvetica" w:hAnsi="Helvetica" w:cs="Helvetica"/>
              </w:rPr>
              <w:t>SLT (All Schools)</w:t>
            </w:r>
          </w:p>
        </w:tc>
        <w:tc>
          <w:tcPr>
            <w:tcW w:w="1865" w:type="dxa"/>
          </w:tcPr>
          <w:p w14:paraId="46EA534C" w14:textId="34FFDBB7" w:rsidR="00FC3261" w:rsidRPr="00BD7D7B" w:rsidRDefault="6A8A5168" w:rsidP="7706CFD1">
            <w:pPr>
              <w:jc w:val="center"/>
              <w:rPr>
                <w:rFonts w:ascii="Helvetica" w:hAnsi="Helvetica" w:cs="Helvetica"/>
              </w:rPr>
            </w:pPr>
            <w:r w:rsidRPr="7706CFD1">
              <w:rPr>
                <w:rFonts w:ascii="Helvetica" w:hAnsi="Helvetica" w:cs="Helvetica"/>
              </w:rPr>
              <w:t>4</w:t>
            </w:r>
            <w:r w:rsidR="60903EA1" w:rsidRPr="7706CFD1">
              <w:rPr>
                <w:rFonts w:ascii="Helvetica" w:hAnsi="Helvetica" w:cs="Helvetica"/>
              </w:rPr>
              <w:t>4</w:t>
            </w:r>
            <w:r w:rsidRPr="7706CFD1">
              <w:rPr>
                <w:rFonts w:ascii="Helvetica" w:hAnsi="Helvetica" w:cs="Helvetica"/>
              </w:rPr>
              <w:t>%</w:t>
            </w:r>
          </w:p>
        </w:tc>
        <w:tc>
          <w:tcPr>
            <w:tcW w:w="1865" w:type="dxa"/>
          </w:tcPr>
          <w:p w14:paraId="268A6CD8" w14:textId="2EA97628" w:rsidR="00FC3261" w:rsidRPr="00BD7D7B" w:rsidRDefault="6A8A5168" w:rsidP="00F73590">
            <w:pPr>
              <w:jc w:val="center"/>
              <w:rPr>
                <w:rFonts w:ascii="Helvetica" w:hAnsi="Helvetica" w:cs="Helvetica"/>
                <w:bCs/>
              </w:rPr>
            </w:pPr>
            <w:r w:rsidRPr="7706CFD1">
              <w:rPr>
                <w:rFonts w:ascii="Helvetica" w:hAnsi="Helvetica" w:cs="Helvetica"/>
              </w:rPr>
              <w:t>56%</w:t>
            </w:r>
          </w:p>
        </w:tc>
        <w:tc>
          <w:tcPr>
            <w:tcW w:w="2141" w:type="dxa"/>
          </w:tcPr>
          <w:p w14:paraId="05FDB09A" w14:textId="7CCD2763" w:rsidR="00FC3261" w:rsidRPr="00BD7D7B" w:rsidRDefault="5A353FFA" w:rsidP="00F73590">
            <w:pPr>
              <w:jc w:val="center"/>
              <w:rPr>
                <w:rFonts w:ascii="Helvetica" w:hAnsi="Helvetica" w:cs="Helvetica"/>
                <w:bCs/>
              </w:rPr>
            </w:pPr>
            <w:r w:rsidRPr="7706CFD1">
              <w:rPr>
                <w:rFonts w:ascii="Helvetica" w:hAnsi="Helvetica" w:cs="Helvetica"/>
              </w:rPr>
              <w:t>1.65</w:t>
            </w:r>
          </w:p>
        </w:tc>
        <w:tc>
          <w:tcPr>
            <w:tcW w:w="2239" w:type="dxa"/>
          </w:tcPr>
          <w:p w14:paraId="706CCA13" w14:textId="766E602F" w:rsidR="00FC3261" w:rsidRPr="00BD7D7B" w:rsidRDefault="797EBBDF" w:rsidP="00F73590">
            <w:pPr>
              <w:jc w:val="center"/>
              <w:rPr>
                <w:rFonts w:ascii="Helvetica" w:hAnsi="Helvetica" w:cs="Helvetica"/>
                <w:bCs/>
              </w:rPr>
            </w:pPr>
            <w:r w:rsidRPr="7706CFD1">
              <w:rPr>
                <w:rFonts w:ascii="Helvetica" w:hAnsi="Helvetica" w:cs="Helvetica"/>
              </w:rPr>
              <w:t>0</w:t>
            </w:r>
          </w:p>
        </w:tc>
      </w:tr>
      <w:tr w:rsidR="00FC3261" w:rsidRPr="00BD7D7B" w14:paraId="4EE077F8" w14:textId="77777777" w:rsidTr="7706CFD1">
        <w:tc>
          <w:tcPr>
            <w:tcW w:w="2346" w:type="dxa"/>
          </w:tcPr>
          <w:p w14:paraId="16AC4B86" w14:textId="42FC42D4" w:rsidR="00FC3261" w:rsidRPr="00BD7D7B" w:rsidRDefault="00FC3261" w:rsidP="00051725">
            <w:pPr>
              <w:rPr>
                <w:rFonts w:ascii="Helvetica" w:hAnsi="Helvetica" w:cs="Helvetica"/>
                <w:bCs/>
              </w:rPr>
            </w:pPr>
            <w:r w:rsidRPr="7706CFD1">
              <w:rPr>
                <w:rFonts w:ascii="Helvetica" w:hAnsi="Helvetica" w:cs="Helvetica"/>
              </w:rPr>
              <w:t>Teaching (All Schools)</w:t>
            </w:r>
          </w:p>
        </w:tc>
        <w:tc>
          <w:tcPr>
            <w:tcW w:w="1865" w:type="dxa"/>
          </w:tcPr>
          <w:p w14:paraId="3BF8CEEA" w14:textId="436AD2FB" w:rsidR="00FC3261" w:rsidRPr="00BD7D7B" w:rsidRDefault="31CA6156" w:rsidP="00F73590">
            <w:pPr>
              <w:jc w:val="center"/>
              <w:rPr>
                <w:rFonts w:ascii="Helvetica" w:hAnsi="Helvetica" w:cs="Helvetica"/>
                <w:bCs/>
              </w:rPr>
            </w:pPr>
            <w:r w:rsidRPr="7706CFD1">
              <w:rPr>
                <w:rFonts w:ascii="Helvetica" w:hAnsi="Helvetica" w:cs="Helvetica"/>
              </w:rPr>
              <w:t>31%</w:t>
            </w:r>
          </w:p>
        </w:tc>
        <w:tc>
          <w:tcPr>
            <w:tcW w:w="1865" w:type="dxa"/>
          </w:tcPr>
          <w:p w14:paraId="5326ACFD" w14:textId="0EB7F9E4" w:rsidR="00FC3261" w:rsidRPr="00BD7D7B" w:rsidRDefault="31CA6156" w:rsidP="00F73590">
            <w:pPr>
              <w:jc w:val="center"/>
              <w:rPr>
                <w:rFonts w:ascii="Helvetica" w:hAnsi="Helvetica" w:cs="Helvetica"/>
                <w:bCs/>
              </w:rPr>
            </w:pPr>
            <w:r w:rsidRPr="7706CFD1">
              <w:rPr>
                <w:rFonts w:ascii="Helvetica" w:hAnsi="Helvetica" w:cs="Helvetica"/>
              </w:rPr>
              <w:t>69%</w:t>
            </w:r>
          </w:p>
        </w:tc>
        <w:tc>
          <w:tcPr>
            <w:tcW w:w="2141" w:type="dxa"/>
          </w:tcPr>
          <w:p w14:paraId="6ADA1311" w14:textId="214E2177" w:rsidR="00FC3261" w:rsidRPr="00BD7D7B" w:rsidRDefault="4DDB951C" w:rsidP="00F73590">
            <w:pPr>
              <w:jc w:val="center"/>
              <w:rPr>
                <w:rFonts w:ascii="Helvetica" w:hAnsi="Helvetica" w:cs="Helvetica"/>
                <w:bCs/>
              </w:rPr>
            </w:pPr>
            <w:r w:rsidRPr="7706CFD1">
              <w:rPr>
                <w:rFonts w:ascii="Helvetica" w:hAnsi="Helvetica" w:cs="Helvetica"/>
              </w:rPr>
              <w:t>0.</w:t>
            </w:r>
            <w:r w:rsidR="55313557" w:rsidRPr="7706CFD1">
              <w:rPr>
                <w:rFonts w:ascii="Helvetica" w:hAnsi="Helvetica" w:cs="Helvetica"/>
              </w:rPr>
              <w:t>78</w:t>
            </w:r>
          </w:p>
        </w:tc>
        <w:tc>
          <w:tcPr>
            <w:tcW w:w="2239" w:type="dxa"/>
          </w:tcPr>
          <w:p w14:paraId="4B1A66A4" w14:textId="1201E262" w:rsidR="00FC3261" w:rsidRPr="00BD7D7B" w:rsidRDefault="380E9893" w:rsidP="00F73590">
            <w:pPr>
              <w:jc w:val="center"/>
              <w:rPr>
                <w:rFonts w:ascii="Helvetica" w:hAnsi="Helvetica" w:cs="Helvetica"/>
                <w:bCs/>
              </w:rPr>
            </w:pPr>
            <w:r w:rsidRPr="7706CFD1">
              <w:rPr>
                <w:rFonts w:ascii="Helvetica" w:hAnsi="Helvetica" w:cs="Helvetica"/>
              </w:rPr>
              <w:t>0.2</w:t>
            </w:r>
          </w:p>
        </w:tc>
      </w:tr>
      <w:tr w:rsidR="00FC3261" w:rsidRPr="00BD7D7B" w14:paraId="1205ECE4" w14:textId="77777777" w:rsidTr="7706CFD1">
        <w:tc>
          <w:tcPr>
            <w:tcW w:w="2346" w:type="dxa"/>
          </w:tcPr>
          <w:p w14:paraId="1068D7AB" w14:textId="6AF97827" w:rsidR="00FC3261" w:rsidRPr="00BD7D7B" w:rsidRDefault="00FC3261" w:rsidP="00051725">
            <w:pPr>
              <w:rPr>
                <w:rFonts w:ascii="Helvetica" w:hAnsi="Helvetica" w:cs="Helvetica"/>
                <w:bCs/>
              </w:rPr>
            </w:pPr>
            <w:r w:rsidRPr="7706CFD1">
              <w:rPr>
                <w:rFonts w:ascii="Helvetica" w:hAnsi="Helvetica" w:cs="Helvetica"/>
              </w:rPr>
              <w:t>Support Staff (All Schools)</w:t>
            </w:r>
          </w:p>
        </w:tc>
        <w:tc>
          <w:tcPr>
            <w:tcW w:w="1865" w:type="dxa"/>
          </w:tcPr>
          <w:p w14:paraId="1DB01E14" w14:textId="1A8A574E" w:rsidR="00FC3261" w:rsidRPr="00BD7D7B" w:rsidRDefault="69246011" w:rsidP="00F73590">
            <w:pPr>
              <w:jc w:val="center"/>
              <w:rPr>
                <w:rFonts w:ascii="Helvetica" w:hAnsi="Helvetica" w:cs="Helvetica"/>
                <w:bCs/>
              </w:rPr>
            </w:pPr>
            <w:r w:rsidRPr="7706CFD1">
              <w:rPr>
                <w:rFonts w:ascii="Helvetica" w:hAnsi="Helvetica" w:cs="Helvetica"/>
              </w:rPr>
              <w:t>26%</w:t>
            </w:r>
          </w:p>
        </w:tc>
        <w:tc>
          <w:tcPr>
            <w:tcW w:w="1865" w:type="dxa"/>
          </w:tcPr>
          <w:p w14:paraId="087E97D9" w14:textId="0A094501" w:rsidR="00FC3261" w:rsidRPr="00BD7D7B" w:rsidRDefault="69246011" w:rsidP="00F73590">
            <w:pPr>
              <w:jc w:val="center"/>
              <w:rPr>
                <w:rFonts w:ascii="Helvetica" w:hAnsi="Helvetica" w:cs="Helvetica"/>
                <w:bCs/>
              </w:rPr>
            </w:pPr>
            <w:r w:rsidRPr="7706CFD1">
              <w:rPr>
                <w:rFonts w:ascii="Helvetica" w:hAnsi="Helvetica" w:cs="Helvetica"/>
              </w:rPr>
              <w:t>74%</w:t>
            </w:r>
          </w:p>
        </w:tc>
        <w:tc>
          <w:tcPr>
            <w:tcW w:w="2141" w:type="dxa"/>
          </w:tcPr>
          <w:p w14:paraId="2126812E" w14:textId="0B0A070C" w:rsidR="00FC3261" w:rsidRPr="00BD7D7B" w:rsidRDefault="55313557" w:rsidP="00F73590">
            <w:pPr>
              <w:jc w:val="center"/>
              <w:rPr>
                <w:rFonts w:ascii="Helvetica" w:hAnsi="Helvetica" w:cs="Helvetica"/>
                <w:bCs/>
              </w:rPr>
            </w:pPr>
            <w:r w:rsidRPr="7706CFD1">
              <w:rPr>
                <w:rFonts w:ascii="Helvetica" w:hAnsi="Helvetica" w:cs="Helvetica"/>
              </w:rPr>
              <w:t>0.96</w:t>
            </w:r>
          </w:p>
        </w:tc>
        <w:tc>
          <w:tcPr>
            <w:tcW w:w="2239" w:type="dxa"/>
          </w:tcPr>
          <w:p w14:paraId="5D36952E" w14:textId="66244424" w:rsidR="00FC3261" w:rsidRPr="00BD7D7B" w:rsidRDefault="3CD4F287" w:rsidP="00F73590">
            <w:pPr>
              <w:jc w:val="center"/>
              <w:rPr>
                <w:rFonts w:ascii="Helvetica" w:hAnsi="Helvetica" w:cs="Helvetica"/>
                <w:bCs/>
              </w:rPr>
            </w:pPr>
            <w:r w:rsidRPr="7706CFD1">
              <w:rPr>
                <w:rFonts w:ascii="Helvetica" w:hAnsi="Helvetica" w:cs="Helvetica"/>
              </w:rPr>
              <w:t>0.65</w:t>
            </w:r>
          </w:p>
        </w:tc>
      </w:tr>
    </w:tbl>
    <w:p w14:paraId="19FACA94" w14:textId="77777777" w:rsidR="00476859" w:rsidRDefault="00476859" w:rsidP="00051725">
      <w:pPr>
        <w:rPr>
          <w:rFonts w:ascii="Helvetica" w:hAnsi="Helvetica" w:cs="Helvetica"/>
          <w:bCs/>
        </w:rPr>
      </w:pPr>
    </w:p>
    <w:p w14:paraId="7D34EFC1" w14:textId="3CAC8DCF" w:rsidR="0060756F" w:rsidRPr="0060756F" w:rsidRDefault="0060756F" w:rsidP="00051725">
      <w:pPr>
        <w:rPr>
          <w:rFonts w:ascii="Helvetica" w:hAnsi="Helvetica" w:cs="Helvetica"/>
          <w:b/>
        </w:rPr>
      </w:pPr>
      <w:r w:rsidRPr="0060756F">
        <w:rPr>
          <w:rFonts w:ascii="Helvetica" w:hAnsi="Helvetica" w:cs="Helvetica"/>
          <w:b/>
        </w:rPr>
        <w:t>Comparison Data from other MATs</w:t>
      </w:r>
    </w:p>
    <w:tbl>
      <w:tblPr>
        <w:tblW w:w="10180" w:type="dxa"/>
        <w:tblLook w:val="04A0" w:firstRow="1" w:lastRow="0" w:firstColumn="1" w:lastColumn="0" w:noHBand="0" w:noVBand="1"/>
      </w:tblPr>
      <w:tblGrid>
        <w:gridCol w:w="4700"/>
        <w:gridCol w:w="1180"/>
        <w:gridCol w:w="1440"/>
        <w:gridCol w:w="1420"/>
        <w:gridCol w:w="1440"/>
      </w:tblGrid>
      <w:tr w:rsidR="0060756F" w:rsidRPr="0060756F" w14:paraId="635451F1" w14:textId="77777777" w:rsidTr="0060756F">
        <w:trPr>
          <w:trHeight w:val="990"/>
        </w:trPr>
        <w:tc>
          <w:tcPr>
            <w:tcW w:w="4700" w:type="dxa"/>
            <w:tcBorders>
              <w:top w:val="single" w:sz="8" w:space="0" w:color="auto"/>
              <w:left w:val="single" w:sz="8" w:space="0" w:color="auto"/>
              <w:bottom w:val="nil"/>
              <w:right w:val="nil"/>
            </w:tcBorders>
            <w:shd w:val="clear" w:color="000000" w:fill="D9D9D9"/>
            <w:noWrap/>
            <w:hideMark/>
          </w:tcPr>
          <w:p w14:paraId="6EA56FAA" w14:textId="77777777" w:rsidR="0060756F" w:rsidRPr="0060756F" w:rsidRDefault="0060756F" w:rsidP="0060756F">
            <w:pPr>
              <w:spacing w:after="0" w:line="240" w:lineRule="auto"/>
              <w:rPr>
                <w:rFonts w:ascii="Aptos Narrow" w:eastAsia="Times New Roman" w:hAnsi="Aptos Narrow" w:cs="Times New Roman"/>
                <w:b/>
                <w:bCs/>
                <w:color w:val="000000"/>
                <w:lang w:eastAsia="en-GB"/>
              </w:rPr>
            </w:pPr>
            <w:r w:rsidRPr="0060756F">
              <w:rPr>
                <w:rFonts w:ascii="Aptos Narrow" w:eastAsia="Times New Roman" w:hAnsi="Aptos Narrow" w:cs="Times New Roman"/>
                <w:b/>
                <w:bCs/>
                <w:color w:val="000000"/>
                <w:lang w:eastAsia="en-GB"/>
              </w:rPr>
              <w:t>Employer</w:t>
            </w:r>
          </w:p>
        </w:tc>
        <w:tc>
          <w:tcPr>
            <w:tcW w:w="1180" w:type="dxa"/>
            <w:tcBorders>
              <w:top w:val="single" w:sz="8" w:space="0" w:color="auto"/>
              <w:left w:val="nil"/>
              <w:bottom w:val="nil"/>
              <w:right w:val="nil"/>
            </w:tcBorders>
            <w:shd w:val="clear" w:color="000000" w:fill="D9D9D9"/>
            <w:hideMark/>
          </w:tcPr>
          <w:p w14:paraId="5BB9B881" w14:textId="77777777" w:rsidR="0060756F" w:rsidRPr="0060756F" w:rsidRDefault="0060756F" w:rsidP="0060756F">
            <w:pPr>
              <w:spacing w:after="0" w:line="240" w:lineRule="auto"/>
              <w:rPr>
                <w:rFonts w:ascii="Aptos Narrow" w:eastAsia="Times New Roman" w:hAnsi="Aptos Narrow" w:cs="Times New Roman"/>
                <w:b/>
                <w:bCs/>
                <w:color w:val="000000"/>
                <w:lang w:eastAsia="en-GB"/>
              </w:rPr>
            </w:pPr>
            <w:r w:rsidRPr="0060756F">
              <w:rPr>
                <w:rFonts w:ascii="Aptos Narrow" w:eastAsia="Times New Roman" w:hAnsi="Aptos Narrow" w:cs="Times New Roman"/>
                <w:b/>
                <w:bCs/>
                <w:color w:val="000000"/>
                <w:lang w:eastAsia="en-GB"/>
              </w:rPr>
              <w:t>Employer Type</w:t>
            </w:r>
          </w:p>
        </w:tc>
        <w:tc>
          <w:tcPr>
            <w:tcW w:w="1440" w:type="dxa"/>
            <w:tcBorders>
              <w:top w:val="single" w:sz="8" w:space="0" w:color="auto"/>
              <w:left w:val="nil"/>
              <w:bottom w:val="nil"/>
              <w:right w:val="nil"/>
            </w:tcBorders>
            <w:shd w:val="clear" w:color="000000" w:fill="D9D9D9"/>
            <w:noWrap/>
            <w:hideMark/>
          </w:tcPr>
          <w:p w14:paraId="7EE80E7E" w14:textId="77777777" w:rsidR="0060756F" w:rsidRPr="0060756F" w:rsidRDefault="0060756F" w:rsidP="0060756F">
            <w:pPr>
              <w:spacing w:after="0" w:line="240" w:lineRule="auto"/>
              <w:rPr>
                <w:rFonts w:ascii="Aptos Narrow" w:eastAsia="Times New Roman" w:hAnsi="Aptos Narrow" w:cs="Times New Roman"/>
                <w:b/>
                <w:bCs/>
                <w:color w:val="000000"/>
                <w:lang w:eastAsia="en-GB"/>
              </w:rPr>
            </w:pPr>
            <w:r w:rsidRPr="0060756F">
              <w:rPr>
                <w:rFonts w:ascii="Aptos Narrow" w:eastAsia="Times New Roman" w:hAnsi="Aptos Narrow" w:cs="Times New Roman"/>
                <w:b/>
                <w:bCs/>
                <w:color w:val="000000"/>
                <w:lang w:eastAsia="en-GB"/>
              </w:rPr>
              <w:t>Employer Size</w:t>
            </w:r>
          </w:p>
        </w:tc>
        <w:tc>
          <w:tcPr>
            <w:tcW w:w="1420" w:type="dxa"/>
            <w:tcBorders>
              <w:top w:val="single" w:sz="8" w:space="0" w:color="auto"/>
              <w:left w:val="nil"/>
              <w:bottom w:val="nil"/>
              <w:right w:val="nil"/>
            </w:tcBorders>
            <w:shd w:val="clear" w:color="000000" w:fill="D9D9D9"/>
            <w:hideMark/>
          </w:tcPr>
          <w:p w14:paraId="2780EB9D" w14:textId="77777777" w:rsidR="0060756F" w:rsidRPr="0060756F" w:rsidRDefault="0060756F" w:rsidP="0060756F">
            <w:pPr>
              <w:spacing w:after="0" w:line="240" w:lineRule="auto"/>
              <w:jc w:val="center"/>
              <w:rPr>
                <w:rFonts w:ascii="Aptos Narrow" w:eastAsia="Times New Roman" w:hAnsi="Aptos Narrow" w:cs="Times New Roman"/>
                <w:b/>
                <w:bCs/>
                <w:color w:val="000000"/>
                <w:lang w:eastAsia="en-GB"/>
              </w:rPr>
            </w:pPr>
            <w:r w:rsidRPr="0060756F">
              <w:rPr>
                <w:rFonts w:ascii="Aptos Narrow" w:eastAsia="Times New Roman" w:hAnsi="Aptos Narrow" w:cs="Times New Roman"/>
                <w:b/>
                <w:bCs/>
                <w:color w:val="000000"/>
                <w:lang w:eastAsia="en-GB"/>
              </w:rPr>
              <w:t>% Difference in hourly rate (Mean)</w:t>
            </w:r>
          </w:p>
        </w:tc>
        <w:tc>
          <w:tcPr>
            <w:tcW w:w="1440" w:type="dxa"/>
            <w:tcBorders>
              <w:top w:val="single" w:sz="8" w:space="0" w:color="auto"/>
              <w:left w:val="nil"/>
              <w:bottom w:val="nil"/>
              <w:right w:val="single" w:sz="8" w:space="0" w:color="auto"/>
            </w:tcBorders>
            <w:shd w:val="clear" w:color="000000" w:fill="D9D9D9"/>
            <w:hideMark/>
          </w:tcPr>
          <w:p w14:paraId="17DBB8FC" w14:textId="77777777" w:rsidR="0060756F" w:rsidRPr="0060756F" w:rsidRDefault="0060756F" w:rsidP="0060756F">
            <w:pPr>
              <w:spacing w:after="0" w:line="240" w:lineRule="auto"/>
              <w:jc w:val="center"/>
              <w:rPr>
                <w:rFonts w:ascii="Aptos Narrow" w:eastAsia="Times New Roman" w:hAnsi="Aptos Narrow" w:cs="Times New Roman"/>
                <w:b/>
                <w:bCs/>
                <w:color w:val="000000"/>
                <w:lang w:eastAsia="en-GB"/>
              </w:rPr>
            </w:pPr>
            <w:r w:rsidRPr="0060756F">
              <w:rPr>
                <w:rFonts w:ascii="Aptos Narrow" w:eastAsia="Times New Roman" w:hAnsi="Aptos Narrow" w:cs="Times New Roman"/>
                <w:b/>
                <w:bCs/>
                <w:color w:val="000000"/>
                <w:lang w:eastAsia="en-GB"/>
              </w:rPr>
              <w:t>% Difference in hourly rate (Median)</w:t>
            </w:r>
          </w:p>
        </w:tc>
      </w:tr>
      <w:tr w:rsidR="0060756F" w:rsidRPr="0060756F" w14:paraId="63D14FBE" w14:textId="77777777" w:rsidTr="0060756F">
        <w:trPr>
          <w:trHeight w:val="290"/>
        </w:trPr>
        <w:tc>
          <w:tcPr>
            <w:tcW w:w="4700" w:type="dxa"/>
            <w:tcBorders>
              <w:top w:val="nil"/>
              <w:left w:val="single" w:sz="8" w:space="0" w:color="auto"/>
              <w:bottom w:val="nil"/>
              <w:right w:val="nil"/>
            </w:tcBorders>
            <w:shd w:val="clear" w:color="auto" w:fill="auto"/>
            <w:noWrap/>
            <w:vAlign w:val="bottom"/>
            <w:hideMark/>
          </w:tcPr>
          <w:p w14:paraId="34D885CF"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THE ARTHUR TERRY LEARNING PARTNERSHIP</w:t>
            </w:r>
          </w:p>
        </w:tc>
        <w:tc>
          <w:tcPr>
            <w:tcW w:w="1180" w:type="dxa"/>
            <w:tcBorders>
              <w:top w:val="nil"/>
              <w:left w:val="nil"/>
              <w:bottom w:val="nil"/>
              <w:right w:val="nil"/>
            </w:tcBorders>
            <w:shd w:val="clear" w:color="auto" w:fill="auto"/>
            <w:noWrap/>
            <w:vAlign w:val="bottom"/>
            <w:hideMark/>
          </w:tcPr>
          <w:p w14:paraId="71922851"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MAT</w:t>
            </w:r>
          </w:p>
        </w:tc>
        <w:tc>
          <w:tcPr>
            <w:tcW w:w="1440" w:type="dxa"/>
            <w:tcBorders>
              <w:top w:val="nil"/>
              <w:left w:val="nil"/>
              <w:bottom w:val="nil"/>
              <w:right w:val="nil"/>
            </w:tcBorders>
            <w:shd w:val="clear" w:color="auto" w:fill="auto"/>
            <w:noWrap/>
            <w:vAlign w:val="bottom"/>
            <w:hideMark/>
          </w:tcPr>
          <w:p w14:paraId="0F21AEA1"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1000 to 4999</w:t>
            </w:r>
          </w:p>
        </w:tc>
        <w:tc>
          <w:tcPr>
            <w:tcW w:w="1420" w:type="dxa"/>
            <w:tcBorders>
              <w:top w:val="nil"/>
              <w:left w:val="nil"/>
              <w:bottom w:val="nil"/>
              <w:right w:val="nil"/>
            </w:tcBorders>
            <w:shd w:val="clear" w:color="auto" w:fill="auto"/>
            <w:noWrap/>
            <w:vAlign w:val="bottom"/>
            <w:hideMark/>
          </w:tcPr>
          <w:p w14:paraId="1A350C11"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6.6</w:t>
            </w:r>
          </w:p>
        </w:tc>
        <w:tc>
          <w:tcPr>
            <w:tcW w:w="1440" w:type="dxa"/>
            <w:tcBorders>
              <w:top w:val="nil"/>
              <w:left w:val="nil"/>
              <w:bottom w:val="nil"/>
              <w:right w:val="single" w:sz="8" w:space="0" w:color="auto"/>
            </w:tcBorders>
            <w:shd w:val="clear" w:color="auto" w:fill="auto"/>
            <w:noWrap/>
            <w:vAlign w:val="bottom"/>
            <w:hideMark/>
          </w:tcPr>
          <w:p w14:paraId="001C96C9"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-1.8</w:t>
            </w:r>
          </w:p>
        </w:tc>
      </w:tr>
      <w:tr w:rsidR="0060756F" w:rsidRPr="0060756F" w14:paraId="1E0DB3FE" w14:textId="77777777" w:rsidTr="0060756F">
        <w:trPr>
          <w:trHeight w:val="290"/>
        </w:trPr>
        <w:tc>
          <w:tcPr>
            <w:tcW w:w="4700" w:type="dxa"/>
            <w:tcBorders>
              <w:top w:val="nil"/>
              <w:left w:val="single" w:sz="8" w:space="0" w:color="auto"/>
              <w:bottom w:val="nil"/>
              <w:right w:val="nil"/>
            </w:tcBorders>
            <w:shd w:val="clear" w:color="000000" w:fill="FFFF00"/>
            <w:noWrap/>
            <w:vAlign w:val="bottom"/>
            <w:hideMark/>
          </w:tcPr>
          <w:p w14:paraId="6FED2B1A"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KING EDWARD VI ACADEMY TRUST BIRMINGHAM</w:t>
            </w:r>
          </w:p>
        </w:tc>
        <w:tc>
          <w:tcPr>
            <w:tcW w:w="1180" w:type="dxa"/>
            <w:tcBorders>
              <w:top w:val="nil"/>
              <w:left w:val="nil"/>
              <w:bottom w:val="nil"/>
              <w:right w:val="nil"/>
            </w:tcBorders>
            <w:shd w:val="clear" w:color="auto" w:fill="auto"/>
            <w:noWrap/>
            <w:vAlign w:val="bottom"/>
            <w:hideMark/>
          </w:tcPr>
          <w:p w14:paraId="789B6F11"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MAT</w:t>
            </w:r>
          </w:p>
        </w:tc>
        <w:tc>
          <w:tcPr>
            <w:tcW w:w="1440" w:type="dxa"/>
            <w:tcBorders>
              <w:top w:val="nil"/>
              <w:left w:val="nil"/>
              <w:bottom w:val="nil"/>
              <w:right w:val="nil"/>
            </w:tcBorders>
            <w:shd w:val="clear" w:color="auto" w:fill="auto"/>
            <w:noWrap/>
            <w:vAlign w:val="bottom"/>
            <w:hideMark/>
          </w:tcPr>
          <w:p w14:paraId="7E00CB4B"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1000 to 4999</w:t>
            </w:r>
          </w:p>
        </w:tc>
        <w:tc>
          <w:tcPr>
            <w:tcW w:w="1420" w:type="dxa"/>
            <w:tcBorders>
              <w:top w:val="nil"/>
              <w:left w:val="nil"/>
              <w:bottom w:val="nil"/>
              <w:right w:val="nil"/>
            </w:tcBorders>
            <w:shd w:val="clear" w:color="000000" w:fill="FFFF00"/>
            <w:noWrap/>
            <w:vAlign w:val="bottom"/>
            <w:hideMark/>
          </w:tcPr>
          <w:p w14:paraId="7F8400A4"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13.4</w:t>
            </w:r>
          </w:p>
        </w:tc>
        <w:tc>
          <w:tcPr>
            <w:tcW w:w="1440" w:type="dxa"/>
            <w:tcBorders>
              <w:top w:val="nil"/>
              <w:left w:val="nil"/>
              <w:bottom w:val="nil"/>
              <w:right w:val="single" w:sz="8" w:space="0" w:color="auto"/>
            </w:tcBorders>
            <w:shd w:val="clear" w:color="auto" w:fill="auto"/>
            <w:noWrap/>
            <w:vAlign w:val="bottom"/>
            <w:hideMark/>
          </w:tcPr>
          <w:p w14:paraId="06199249"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26.6</w:t>
            </w:r>
          </w:p>
        </w:tc>
      </w:tr>
      <w:tr w:rsidR="0060756F" w:rsidRPr="0060756F" w14:paraId="487F4DF8" w14:textId="77777777" w:rsidTr="0060756F">
        <w:trPr>
          <w:trHeight w:val="290"/>
        </w:trPr>
        <w:tc>
          <w:tcPr>
            <w:tcW w:w="4700" w:type="dxa"/>
            <w:tcBorders>
              <w:top w:val="nil"/>
              <w:left w:val="single" w:sz="8" w:space="0" w:color="auto"/>
              <w:bottom w:val="nil"/>
              <w:right w:val="nil"/>
            </w:tcBorders>
            <w:shd w:val="clear" w:color="auto" w:fill="auto"/>
            <w:noWrap/>
            <w:vAlign w:val="bottom"/>
            <w:hideMark/>
          </w:tcPr>
          <w:p w14:paraId="0EBED6F7"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UNITED LEARNING TRUST</w:t>
            </w:r>
          </w:p>
        </w:tc>
        <w:tc>
          <w:tcPr>
            <w:tcW w:w="1180" w:type="dxa"/>
            <w:tcBorders>
              <w:top w:val="nil"/>
              <w:left w:val="nil"/>
              <w:bottom w:val="nil"/>
              <w:right w:val="nil"/>
            </w:tcBorders>
            <w:shd w:val="clear" w:color="auto" w:fill="auto"/>
            <w:noWrap/>
            <w:vAlign w:val="bottom"/>
            <w:hideMark/>
          </w:tcPr>
          <w:p w14:paraId="4A498457"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MAT</w:t>
            </w:r>
          </w:p>
        </w:tc>
        <w:tc>
          <w:tcPr>
            <w:tcW w:w="1440" w:type="dxa"/>
            <w:tcBorders>
              <w:top w:val="nil"/>
              <w:left w:val="nil"/>
              <w:bottom w:val="nil"/>
              <w:right w:val="nil"/>
            </w:tcBorders>
            <w:shd w:val="clear" w:color="auto" w:fill="auto"/>
            <w:noWrap/>
            <w:vAlign w:val="bottom"/>
            <w:hideMark/>
          </w:tcPr>
          <w:p w14:paraId="0166E9CE"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5000 to 19,999</w:t>
            </w:r>
          </w:p>
        </w:tc>
        <w:tc>
          <w:tcPr>
            <w:tcW w:w="1420" w:type="dxa"/>
            <w:tcBorders>
              <w:top w:val="nil"/>
              <w:left w:val="nil"/>
              <w:bottom w:val="nil"/>
              <w:right w:val="nil"/>
            </w:tcBorders>
            <w:shd w:val="clear" w:color="auto" w:fill="auto"/>
            <w:noWrap/>
            <w:vAlign w:val="bottom"/>
            <w:hideMark/>
          </w:tcPr>
          <w:p w14:paraId="64244266"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15.3</w:t>
            </w:r>
          </w:p>
        </w:tc>
        <w:tc>
          <w:tcPr>
            <w:tcW w:w="1440" w:type="dxa"/>
            <w:tcBorders>
              <w:top w:val="nil"/>
              <w:left w:val="nil"/>
              <w:bottom w:val="nil"/>
              <w:right w:val="single" w:sz="8" w:space="0" w:color="auto"/>
            </w:tcBorders>
            <w:shd w:val="clear" w:color="auto" w:fill="auto"/>
            <w:noWrap/>
            <w:vAlign w:val="bottom"/>
            <w:hideMark/>
          </w:tcPr>
          <w:p w14:paraId="5E143698"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19.5</w:t>
            </w:r>
          </w:p>
        </w:tc>
      </w:tr>
      <w:tr w:rsidR="0060756F" w:rsidRPr="0060756F" w14:paraId="0768BF87" w14:textId="77777777" w:rsidTr="0060756F">
        <w:trPr>
          <w:trHeight w:val="290"/>
        </w:trPr>
        <w:tc>
          <w:tcPr>
            <w:tcW w:w="4700" w:type="dxa"/>
            <w:tcBorders>
              <w:top w:val="nil"/>
              <w:left w:val="single" w:sz="8" w:space="0" w:color="auto"/>
              <w:bottom w:val="nil"/>
              <w:right w:val="nil"/>
            </w:tcBorders>
            <w:shd w:val="clear" w:color="auto" w:fill="auto"/>
            <w:noWrap/>
            <w:vAlign w:val="bottom"/>
            <w:hideMark/>
          </w:tcPr>
          <w:p w14:paraId="56DEFA62"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TUDOR GRANGE ACADEMIES TRUST</w:t>
            </w:r>
          </w:p>
        </w:tc>
        <w:tc>
          <w:tcPr>
            <w:tcW w:w="1180" w:type="dxa"/>
            <w:tcBorders>
              <w:top w:val="nil"/>
              <w:left w:val="nil"/>
              <w:bottom w:val="nil"/>
              <w:right w:val="nil"/>
            </w:tcBorders>
            <w:shd w:val="clear" w:color="auto" w:fill="auto"/>
            <w:noWrap/>
            <w:vAlign w:val="bottom"/>
            <w:hideMark/>
          </w:tcPr>
          <w:p w14:paraId="433872E5"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MAT</w:t>
            </w:r>
          </w:p>
        </w:tc>
        <w:tc>
          <w:tcPr>
            <w:tcW w:w="1440" w:type="dxa"/>
            <w:tcBorders>
              <w:top w:val="nil"/>
              <w:left w:val="nil"/>
              <w:bottom w:val="nil"/>
              <w:right w:val="nil"/>
            </w:tcBorders>
            <w:shd w:val="clear" w:color="auto" w:fill="auto"/>
            <w:noWrap/>
            <w:vAlign w:val="bottom"/>
            <w:hideMark/>
          </w:tcPr>
          <w:p w14:paraId="679C873E"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500 to 999</w:t>
            </w:r>
          </w:p>
        </w:tc>
        <w:tc>
          <w:tcPr>
            <w:tcW w:w="1420" w:type="dxa"/>
            <w:tcBorders>
              <w:top w:val="nil"/>
              <w:left w:val="nil"/>
              <w:bottom w:val="nil"/>
              <w:right w:val="nil"/>
            </w:tcBorders>
            <w:shd w:val="clear" w:color="auto" w:fill="auto"/>
            <w:noWrap/>
            <w:vAlign w:val="bottom"/>
            <w:hideMark/>
          </w:tcPr>
          <w:p w14:paraId="7AFD3D5F"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18.7</w:t>
            </w:r>
          </w:p>
        </w:tc>
        <w:tc>
          <w:tcPr>
            <w:tcW w:w="1440" w:type="dxa"/>
            <w:tcBorders>
              <w:top w:val="nil"/>
              <w:left w:val="nil"/>
              <w:bottom w:val="nil"/>
              <w:right w:val="single" w:sz="8" w:space="0" w:color="auto"/>
            </w:tcBorders>
            <w:shd w:val="clear" w:color="auto" w:fill="auto"/>
            <w:noWrap/>
            <w:vAlign w:val="bottom"/>
            <w:hideMark/>
          </w:tcPr>
          <w:p w14:paraId="60285C45"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29.7</w:t>
            </w:r>
          </w:p>
        </w:tc>
      </w:tr>
      <w:tr w:rsidR="0060756F" w:rsidRPr="0060756F" w14:paraId="450E760B" w14:textId="77777777" w:rsidTr="0060756F">
        <w:trPr>
          <w:trHeight w:val="290"/>
        </w:trPr>
        <w:tc>
          <w:tcPr>
            <w:tcW w:w="4700" w:type="dxa"/>
            <w:tcBorders>
              <w:top w:val="nil"/>
              <w:left w:val="single" w:sz="8" w:space="0" w:color="auto"/>
              <w:bottom w:val="nil"/>
              <w:right w:val="nil"/>
            </w:tcBorders>
            <w:shd w:val="clear" w:color="auto" w:fill="auto"/>
            <w:noWrap/>
            <w:vAlign w:val="bottom"/>
            <w:hideMark/>
          </w:tcPr>
          <w:p w14:paraId="58884634"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SUMMIT LEARNING TRUST</w:t>
            </w:r>
          </w:p>
        </w:tc>
        <w:tc>
          <w:tcPr>
            <w:tcW w:w="1180" w:type="dxa"/>
            <w:tcBorders>
              <w:top w:val="nil"/>
              <w:left w:val="nil"/>
              <w:bottom w:val="nil"/>
              <w:right w:val="nil"/>
            </w:tcBorders>
            <w:shd w:val="clear" w:color="auto" w:fill="auto"/>
            <w:noWrap/>
            <w:vAlign w:val="bottom"/>
            <w:hideMark/>
          </w:tcPr>
          <w:p w14:paraId="7EFA2083"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MAT</w:t>
            </w:r>
          </w:p>
        </w:tc>
        <w:tc>
          <w:tcPr>
            <w:tcW w:w="1440" w:type="dxa"/>
            <w:tcBorders>
              <w:top w:val="nil"/>
              <w:left w:val="nil"/>
              <w:bottom w:val="nil"/>
              <w:right w:val="nil"/>
            </w:tcBorders>
            <w:shd w:val="clear" w:color="auto" w:fill="auto"/>
            <w:noWrap/>
            <w:vAlign w:val="bottom"/>
            <w:hideMark/>
          </w:tcPr>
          <w:p w14:paraId="5CBE49CF"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500 to 999</w:t>
            </w:r>
          </w:p>
        </w:tc>
        <w:tc>
          <w:tcPr>
            <w:tcW w:w="1420" w:type="dxa"/>
            <w:tcBorders>
              <w:top w:val="nil"/>
              <w:left w:val="nil"/>
              <w:bottom w:val="nil"/>
              <w:right w:val="nil"/>
            </w:tcBorders>
            <w:shd w:val="clear" w:color="auto" w:fill="auto"/>
            <w:noWrap/>
            <w:vAlign w:val="bottom"/>
            <w:hideMark/>
          </w:tcPr>
          <w:p w14:paraId="0B226CBC"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19.5</w:t>
            </w:r>
          </w:p>
        </w:tc>
        <w:tc>
          <w:tcPr>
            <w:tcW w:w="1440" w:type="dxa"/>
            <w:tcBorders>
              <w:top w:val="nil"/>
              <w:left w:val="nil"/>
              <w:bottom w:val="nil"/>
              <w:right w:val="single" w:sz="8" w:space="0" w:color="auto"/>
            </w:tcBorders>
            <w:shd w:val="clear" w:color="auto" w:fill="auto"/>
            <w:noWrap/>
            <w:vAlign w:val="bottom"/>
            <w:hideMark/>
          </w:tcPr>
          <w:p w14:paraId="42B2164E"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23.9</w:t>
            </w:r>
          </w:p>
        </w:tc>
      </w:tr>
      <w:tr w:rsidR="0060756F" w:rsidRPr="0060756F" w14:paraId="7AA63F42" w14:textId="77777777" w:rsidTr="0060756F">
        <w:trPr>
          <w:trHeight w:val="290"/>
        </w:trPr>
        <w:tc>
          <w:tcPr>
            <w:tcW w:w="4700" w:type="dxa"/>
            <w:tcBorders>
              <w:top w:val="nil"/>
              <w:left w:val="single" w:sz="8" w:space="0" w:color="auto"/>
              <w:bottom w:val="nil"/>
              <w:right w:val="nil"/>
            </w:tcBorders>
            <w:shd w:val="clear" w:color="auto" w:fill="auto"/>
            <w:noWrap/>
            <w:vAlign w:val="bottom"/>
            <w:hideMark/>
          </w:tcPr>
          <w:p w14:paraId="56D35751"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FAIRFAX MULTI ACADEMY TRUST</w:t>
            </w:r>
          </w:p>
        </w:tc>
        <w:tc>
          <w:tcPr>
            <w:tcW w:w="1180" w:type="dxa"/>
            <w:tcBorders>
              <w:top w:val="nil"/>
              <w:left w:val="nil"/>
              <w:bottom w:val="nil"/>
              <w:right w:val="nil"/>
            </w:tcBorders>
            <w:shd w:val="clear" w:color="auto" w:fill="auto"/>
            <w:noWrap/>
            <w:vAlign w:val="bottom"/>
            <w:hideMark/>
          </w:tcPr>
          <w:p w14:paraId="04C997AB"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MAT</w:t>
            </w:r>
          </w:p>
        </w:tc>
        <w:tc>
          <w:tcPr>
            <w:tcW w:w="1440" w:type="dxa"/>
            <w:tcBorders>
              <w:top w:val="nil"/>
              <w:left w:val="nil"/>
              <w:bottom w:val="nil"/>
              <w:right w:val="nil"/>
            </w:tcBorders>
            <w:shd w:val="clear" w:color="auto" w:fill="auto"/>
            <w:noWrap/>
            <w:vAlign w:val="bottom"/>
            <w:hideMark/>
          </w:tcPr>
          <w:p w14:paraId="44CC3B69"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250 to 499</w:t>
            </w:r>
          </w:p>
        </w:tc>
        <w:tc>
          <w:tcPr>
            <w:tcW w:w="1420" w:type="dxa"/>
            <w:tcBorders>
              <w:top w:val="nil"/>
              <w:left w:val="nil"/>
              <w:bottom w:val="nil"/>
              <w:right w:val="nil"/>
            </w:tcBorders>
            <w:shd w:val="clear" w:color="auto" w:fill="auto"/>
            <w:noWrap/>
            <w:vAlign w:val="bottom"/>
            <w:hideMark/>
          </w:tcPr>
          <w:p w14:paraId="6A0FFF23"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21.4</w:t>
            </w:r>
          </w:p>
        </w:tc>
        <w:tc>
          <w:tcPr>
            <w:tcW w:w="1440" w:type="dxa"/>
            <w:tcBorders>
              <w:top w:val="nil"/>
              <w:left w:val="nil"/>
              <w:bottom w:val="nil"/>
              <w:right w:val="single" w:sz="8" w:space="0" w:color="auto"/>
            </w:tcBorders>
            <w:shd w:val="clear" w:color="auto" w:fill="auto"/>
            <w:noWrap/>
            <w:vAlign w:val="bottom"/>
            <w:hideMark/>
          </w:tcPr>
          <w:p w14:paraId="02BBD34F"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27.9</w:t>
            </w:r>
          </w:p>
        </w:tc>
      </w:tr>
      <w:tr w:rsidR="0060756F" w:rsidRPr="0060756F" w14:paraId="7323A053" w14:textId="77777777" w:rsidTr="0060756F">
        <w:trPr>
          <w:trHeight w:val="300"/>
        </w:trPr>
        <w:tc>
          <w:tcPr>
            <w:tcW w:w="4700" w:type="dxa"/>
            <w:tcBorders>
              <w:top w:val="nil"/>
              <w:left w:val="single" w:sz="8" w:space="0" w:color="auto"/>
              <w:bottom w:val="single" w:sz="8" w:space="0" w:color="auto"/>
              <w:right w:val="nil"/>
            </w:tcBorders>
            <w:shd w:val="clear" w:color="auto" w:fill="auto"/>
            <w:noWrap/>
            <w:vAlign w:val="bottom"/>
            <w:hideMark/>
          </w:tcPr>
          <w:p w14:paraId="56D5C4B5"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WASHWOOD HEATH MULTI ACADEMY TRUST</w:t>
            </w:r>
          </w:p>
        </w:tc>
        <w:tc>
          <w:tcPr>
            <w:tcW w:w="1180" w:type="dxa"/>
            <w:tcBorders>
              <w:top w:val="nil"/>
              <w:left w:val="nil"/>
              <w:bottom w:val="single" w:sz="8" w:space="0" w:color="auto"/>
              <w:right w:val="nil"/>
            </w:tcBorders>
            <w:shd w:val="clear" w:color="auto" w:fill="auto"/>
            <w:noWrap/>
            <w:vAlign w:val="bottom"/>
            <w:hideMark/>
          </w:tcPr>
          <w:p w14:paraId="61E83CBA"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MAT</w:t>
            </w:r>
          </w:p>
        </w:tc>
        <w:tc>
          <w:tcPr>
            <w:tcW w:w="1440" w:type="dxa"/>
            <w:tcBorders>
              <w:top w:val="nil"/>
              <w:left w:val="nil"/>
              <w:bottom w:val="single" w:sz="8" w:space="0" w:color="auto"/>
              <w:right w:val="nil"/>
            </w:tcBorders>
            <w:shd w:val="clear" w:color="auto" w:fill="auto"/>
            <w:noWrap/>
            <w:vAlign w:val="bottom"/>
            <w:hideMark/>
          </w:tcPr>
          <w:p w14:paraId="256E97C5" w14:textId="77777777" w:rsidR="0060756F" w:rsidRPr="0060756F" w:rsidRDefault="0060756F" w:rsidP="0060756F">
            <w:pPr>
              <w:spacing w:after="0" w:line="240" w:lineRule="auto"/>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500 to 999</w:t>
            </w:r>
          </w:p>
        </w:tc>
        <w:tc>
          <w:tcPr>
            <w:tcW w:w="1420" w:type="dxa"/>
            <w:tcBorders>
              <w:top w:val="nil"/>
              <w:left w:val="nil"/>
              <w:bottom w:val="single" w:sz="8" w:space="0" w:color="auto"/>
              <w:right w:val="nil"/>
            </w:tcBorders>
            <w:shd w:val="clear" w:color="auto" w:fill="auto"/>
            <w:noWrap/>
            <w:vAlign w:val="bottom"/>
            <w:hideMark/>
          </w:tcPr>
          <w:p w14:paraId="1EC11F22"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22.8</w:t>
            </w:r>
          </w:p>
        </w:tc>
        <w:tc>
          <w:tcPr>
            <w:tcW w:w="1440" w:type="dxa"/>
            <w:tcBorders>
              <w:top w:val="nil"/>
              <w:left w:val="nil"/>
              <w:bottom w:val="single" w:sz="8" w:space="0" w:color="auto"/>
              <w:right w:val="single" w:sz="8" w:space="0" w:color="auto"/>
            </w:tcBorders>
            <w:shd w:val="clear" w:color="auto" w:fill="auto"/>
            <w:noWrap/>
            <w:vAlign w:val="bottom"/>
            <w:hideMark/>
          </w:tcPr>
          <w:p w14:paraId="71D42886" w14:textId="77777777" w:rsidR="0060756F" w:rsidRPr="0060756F" w:rsidRDefault="0060756F" w:rsidP="0060756F">
            <w:pPr>
              <w:spacing w:after="0" w:line="240" w:lineRule="auto"/>
              <w:jc w:val="center"/>
              <w:rPr>
                <w:rFonts w:ascii="Aptos Narrow" w:eastAsia="Times New Roman" w:hAnsi="Aptos Narrow" w:cs="Times New Roman"/>
                <w:color w:val="000000"/>
                <w:lang w:eastAsia="en-GB"/>
              </w:rPr>
            </w:pPr>
            <w:r w:rsidRPr="0060756F">
              <w:rPr>
                <w:rFonts w:ascii="Aptos Narrow" w:eastAsia="Times New Roman" w:hAnsi="Aptos Narrow" w:cs="Times New Roman"/>
                <w:color w:val="000000"/>
                <w:lang w:eastAsia="en-GB"/>
              </w:rPr>
              <w:t>27.1</w:t>
            </w:r>
          </w:p>
        </w:tc>
      </w:tr>
    </w:tbl>
    <w:p w14:paraId="2CC3CD38" w14:textId="77777777" w:rsidR="00C332E5" w:rsidRDefault="00C332E5" w:rsidP="00051725">
      <w:pPr>
        <w:rPr>
          <w:rFonts w:ascii="Helvetica" w:hAnsi="Helvetica" w:cs="Helvetica"/>
          <w:bCs/>
        </w:rPr>
      </w:pPr>
    </w:p>
    <w:p w14:paraId="2C5A762B" w14:textId="6A249F29" w:rsidR="00051725" w:rsidRPr="00BD7D7B" w:rsidRDefault="006F5308" w:rsidP="00051725">
      <w:pPr>
        <w:rPr>
          <w:rFonts w:ascii="Helvetica" w:hAnsi="Helvetica" w:cs="Helvetica"/>
          <w:b/>
        </w:rPr>
      </w:pPr>
      <w:r w:rsidRPr="00BD7D7B">
        <w:rPr>
          <w:rFonts w:ascii="Helvetica" w:hAnsi="Helvetica" w:cs="Helvetica"/>
          <w:b/>
        </w:rPr>
        <w:t>What we will do to address the gender pay gap - o</w:t>
      </w:r>
      <w:r w:rsidR="00051725" w:rsidRPr="00BD7D7B">
        <w:rPr>
          <w:rFonts w:ascii="Helvetica" w:hAnsi="Helvetica" w:cs="Helvetica"/>
          <w:b/>
        </w:rPr>
        <w:t xml:space="preserve">ur commitment </w:t>
      </w:r>
    </w:p>
    <w:p w14:paraId="2A7E46BA" w14:textId="77777777" w:rsidR="0022737F" w:rsidRPr="004655EF" w:rsidRDefault="0022737F" w:rsidP="0022737F">
      <w:pPr>
        <w:shd w:val="clear" w:color="auto" w:fill="FFFFFF"/>
        <w:spacing w:before="360" w:after="360" w:line="240" w:lineRule="auto"/>
        <w:rPr>
          <w:rFonts w:ascii="Helvetica" w:eastAsia="Times New Roman" w:hAnsi="Helvetica" w:cs="Helvetica"/>
          <w:color w:val="1F1F1F"/>
          <w:lang w:eastAsia="en-GB"/>
        </w:rPr>
      </w:pPr>
      <w:r w:rsidRPr="004655EF">
        <w:rPr>
          <w:rFonts w:ascii="Helvetica" w:eastAsia="Times New Roman" w:hAnsi="Helvetica" w:cs="Helvetica"/>
          <w:color w:val="1F1F1F"/>
          <w:lang w:eastAsia="en-GB"/>
        </w:rPr>
        <w:t xml:space="preserve">The following action items will be implemented to address the gender pay gap </w:t>
      </w:r>
      <w:r w:rsidRPr="00AC1D75">
        <w:rPr>
          <w:rFonts w:ascii="Helvetica" w:eastAsia="Times New Roman" w:hAnsi="Helvetica" w:cs="Helvetica"/>
          <w:color w:val="1F1F1F"/>
          <w:lang w:eastAsia="en-GB"/>
        </w:rPr>
        <w:t xml:space="preserve">across </w:t>
      </w:r>
      <w:r>
        <w:rPr>
          <w:rFonts w:ascii="Helvetica" w:eastAsia="Times New Roman" w:hAnsi="Helvetica" w:cs="Helvetica"/>
          <w:color w:val="1F1F1F"/>
          <w:lang w:eastAsia="en-GB"/>
        </w:rPr>
        <w:t xml:space="preserve">both entities.  </w:t>
      </w:r>
      <w:r w:rsidRPr="00AC1D75">
        <w:rPr>
          <w:rFonts w:ascii="Helvetica" w:eastAsia="Times New Roman" w:hAnsi="Helvetica" w:cs="Helvetica"/>
          <w:color w:val="1F1F1F"/>
          <w:lang w:eastAsia="en-GB"/>
        </w:rPr>
        <w:t xml:space="preserve"> </w:t>
      </w:r>
    </w:p>
    <w:p w14:paraId="496C26A9" w14:textId="2C7ECE57" w:rsidR="0022737F" w:rsidRDefault="0022737F" w:rsidP="0022737F">
      <w:pPr>
        <w:pStyle w:val="ListParagraph"/>
        <w:numPr>
          <w:ilvl w:val="0"/>
          <w:numId w:val="10"/>
        </w:numPr>
        <w:spacing w:before="100" w:beforeAutospacing="1" w:after="0" w:line="240" w:lineRule="auto"/>
        <w:rPr>
          <w:rFonts w:ascii="Helvetica" w:eastAsia="Times New Roman" w:hAnsi="Helvetica" w:cs="Helvetica"/>
          <w:color w:val="111111"/>
          <w:lang w:eastAsia="en-GB"/>
        </w:rPr>
      </w:pPr>
      <w:r w:rsidRPr="00AC1D75">
        <w:rPr>
          <w:rFonts w:ascii="Helvetica" w:eastAsia="Times New Roman" w:hAnsi="Helvetica" w:cs="Helvetica"/>
          <w:b/>
          <w:bCs/>
          <w:color w:val="111111"/>
          <w:lang w:eastAsia="en-GB"/>
        </w:rPr>
        <w:t>Inclusive Recruitment</w:t>
      </w:r>
      <w:r w:rsidRPr="00AC1D75">
        <w:rPr>
          <w:rFonts w:ascii="Helvetica" w:eastAsia="Times New Roman" w:hAnsi="Helvetica" w:cs="Helvetica"/>
          <w:color w:val="111111"/>
          <w:lang w:eastAsia="en-GB"/>
        </w:rPr>
        <w:t xml:space="preserve"> </w:t>
      </w:r>
    </w:p>
    <w:p w14:paraId="7074490A" w14:textId="77777777" w:rsidR="00BB359C" w:rsidRDefault="00BB359C" w:rsidP="00BB359C">
      <w:pPr>
        <w:pStyle w:val="ListParagraph"/>
        <w:spacing w:before="100" w:beforeAutospacing="1" w:after="0" w:line="240" w:lineRule="auto"/>
        <w:ind w:left="1211"/>
        <w:rPr>
          <w:rFonts w:ascii="Helvetica" w:eastAsia="Times New Roman" w:hAnsi="Helvetica" w:cs="Helvetica"/>
          <w:color w:val="111111"/>
          <w:lang w:eastAsia="en-GB"/>
        </w:rPr>
      </w:pPr>
    </w:p>
    <w:p w14:paraId="5513FA1C" w14:textId="77777777" w:rsidR="0022737F" w:rsidRDefault="0022737F" w:rsidP="0022737F">
      <w:pPr>
        <w:pStyle w:val="ListParagraph"/>
        <w:numPr>
          <w:ilvl w:val="0"/>
          <w:numId w:val="11"/>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Provide</w:t>
      </w:r>
      <w:r w:rsidRPr="00AC1D75">
        <w:rPr>
          <w:rFonts w:ascii="Helvetica" w:eastAsia="Times New Roman" w:hAnsi="Helvetica" w:cs="Helvetica"/>
          <w:color w:val="111111"/>
          <w:lang w:eastAsia="en-GB"/>
        </w:rPr>
        <w:t xml:space="preserve"> </w:t>
      </w:r>
      <w:r>
        <w:rPr>
          <w:rFonts w:ascii="Helvetica" w:eastAsia="Times New Roman" w:hAnsi="Helvetica" w:cs="Helvetica"/>
          <w:color w:val="111111"/>
          <w:lang w:eastAsia="en-GB"/>
        </w:rPr>
        <w:t>i</w:t>
      </w:r>
      <w:r w:rsidRPr="00AC1D75">
        <w:rPr>
          <w:rFonts w:ascii="Helvetica" w:eastAsia="Times New Roman" w:hAnsi="Helvetica" w:cs="Helvetica"/>
          <w:color w:val="111111"/>
          <w:lang w:eastAsia="en-GB"/>
        </w:rPr>
        <w:t xml:space="preserve">nclusive </w:t>
      </w:r>
      <w:r>
        <w:rPr>
          <w:rFonts w:ascii="Helvetica" w:eastAsia="Times New Roman" w:hAnsi="Helvetica" w:cs="Helvetica"/>
          <w:color w:val="111111"/>
          <w:lang w:eastAsia="en-GB"/>
        </w:rPr>
        <w:t xml:space="preserve">recruitment </w:t>
      </w:r>
      <w:r w:rsidRPr="00AC1D75">
        <w:rPr>
          <w:rFonts w:ascii="Helvetica" w:eastAsia="Times New Roman" w:hAnsi="Helvetica" w:cs="Helvetica"/>
          <w:color w:val="111111"/>
          <w:lang w:eastAsia="en-GB"/>
        </w:rPr>
        <w:t xml:space="preserve">training for </w:t>
      </w:r>
      <w:r>
        <w:rPr>
          <w:rFonts w:ascii="Helvetica" w:eastAsia="Times New Roman" w:hAnsi="Helvetica" w:cs="Helvetica"/>
          <w:color w:val="111111"/>
          <w:lang w:eastAsia="en-GB"/>
        </w:rPr>
        <w:t xml:space="preserve">those involved in appointing staff.  To ensure that all salary offers are fair and competitive for both males and females, helping to reduce the inequalities resulting from potentially males being more likely to engage in salary negotiations than females.  </w:t>
      </w:r>
    </w:p>
    <w:p w14:paraId="7A6EE068" w14:textId="77777777" w:rsidR="0022737F" w:rsidRDefault="0022737F" w:rsidP="0022737F">
      <w:pPr>
        <w:pStyle w:val="ListParagraph"/>
        <w:spacing w:before="100" w:beforeAutospacing="1" w:after="0" w:line="240" w:lineRule="auto"/>
        <w:ind w:left="1800"/>
        <w:rPr>
          <w:rFonts w:ascii="Helvetica" w:eastAsia="Times New Roman" w:hAnsi="Helvetica" w:cs="Helvetica"/>
          <w:color w:val="111111"/>
          <w:lang w:eastAsia="en-GB"/>
        </w:rPr>
      </w:pPr>
    </w:p>
    <w:p w14:paraId="0AA3E6A0" w14:textId="77777777" w:rsidR="0022737F" w:rsidRDefault="0022737F" w:rsidP="0022737F">
      <w:pPr>
        <w:pStyle w:val="ListParagraph"/>
        <w:numPr>
          <w:ilvl w:val="0"/>
          <w:numId w:val="11"/>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 xml:space="preserve">Continue to ensure that applications are </w:t>
      </w:r>
      <w:r w:rsidRPr="00AC1D75">
        <w:rPr>
          <w:rFonts w:ascii="Helvetica" w:eastAsia="Times New Roman" w:hAnsi="Helvetica" w:cs="Helvetica"/>
          <w:color w:val="111111"/>
          <w:lang w:eastAsia="en-GB"/>
        </w:rPr>
        <w:t>anonymised</w:t>
      </w:r>
      <w:r>
        <w:rPr>
          <w:rFonts w:ascii="Helvetica" w:eastAsia="Times New Roman" w:hAnsi="Helvetica" w:cs="Helvetica"/>
          <w:color w:val="111111"/>
          <w:lang w:eastAsia="en-GB"/>
        </w:rPr>
        <w:t xml:space="preserve">, interview panels are </w:t>
      </w:r>
      <w:r w:rsidRPr="00AC1D75">
        <w:rPr>
          <w:rFonts w:ascii="Helvetica" w:eastAsia="Times New Roman" w:hAnsi="Helvetica" w:cs="Helvetica"/>
          <w:color w:val="111111"/>
          <w:lang w:eastAsia="en-GB"/>
        </w:rPr>
        <w:t xml:space="preserve">diverse </w:t>
      </w:r>
      <w:r>
        <w:rPr>
          <w:rFonts w:ascii="Helvetica" w:eastAsia="Times New Roman" w:hAnsi="Helvetica" w:cs="Helvetica"/>
          <w:color w:val="111111"/>
          <w:lang w:eastAsia="en-GB"/>
        </w:rPr>
        <w:t xml:space="preserve">and </w:t>
      </w:r>
      <w:r w:rsidRPr="00AC1D75">
        <w:rPr>
          <w:rFonts w:ascii="Helvetica" w:eastAsia="Times New Roman" w:hAnsi="Helvetica" w:cs="Helvetica"/>
          <w:color w:val="111111"/>
          <w:lang w:eastAsia="en-GB"/>
        </w:rPr>
        <w:t xml:space="preserve">objective criteria </w:t>
      </w:r>
      <w:r>
        <w:rPr>
          <w:rFonts w:ascii="Helvetica" w:eastAsia="Times New Roman" w:hAnsi="Helvetica" w:cs="Helvetica"/>
          <w:color w:val="111111"/>
          <w:lang w:eastAsia="en-GB"/>
        </w:rPr>
        <w:t xml:space="preserve">used </w:t>
      </w:r>
      <w:r w:rsidRPr="00AC1D75">
        <w:rPr>
          <w:rFonts w:ascii="Helvetica" w:eastAsia="Times New Roman" w:hAnsi="Helvetica" w:cs="Helvetica"/>
          <w:color w:val="111111"/>
          <w:lang w:eastAsia="en-GB"/>
        </w:rPr>
        <w:t>to assess candidates</w:t>
      </w:r>
      <w:r>
        <w:rPr>
          <w:rFonts w:ascii="Helvetica" w:eastAsia="Times New Roman" w:hAnsi="Helvetica" w:cs="Helvetica"/>
          <w:color w:val="111111"/>
          <w:lang w:eastAsia="en-GB"/>
        </w:rPr>
        <w:t>, including</w:t>
      </w:r>
      <w:r w:rsidRPr="00AC1D75">
        <w:rPr>
          <w:rFonts w:ascii="Helvetica" w:eastAsia="Times New Roman" w:hAnsi="Helvetica" w:cs="Helvetica"/>
          <w:color w:val="111111"/>
          <w:lang w:eastAsia="en-GB"/>
        </w:rPr>
        <w:t xml:space="preserve"> </w:t>
      </w:r>
      <w:r>
        <w:rPr>
          <w:rFonts w:ascii="Helvetica" w:eastAsia="Times New Roman" w:hAnsi="Helvetica" w:cs="Helvetica"/>
          <w:color w:val="111111"/>
          <w:lang w:eastAsia="en-GB"/>
        </w:rPr>
        <w:t xml:space="preserve">removing biases based on </w:t>
      </w:r>
      <w:proofErr w:type="gramStart"/>
      <w:r>
        <w:rPr>
          <w:rFonts w:ascii="Helvetica" w:eastAsia="Times New Roman" w:hAnsi="Helvetica" w:cs="Helvetica"/>
          <w:color w:val="111111"/>
          <w:lang w:eastAsia="en-GB"/>
        </w:rPr>
        <w:t>child care</w:t>
      </w:r>
      <w:proofErr w:type="gramEnd"/>
      <w:r>
        <w:rPr>
          <w:rFonts w:ascii="Helvetica" w:eastAsia="Times New Roman" w:hAnsi="Helvetica" w:cs="Helvetica"/>
          <w:color w:val="111111"/>
          <w:lang w:eastAsia="en-GB"/>
        </w:rPr>
        <w:t xml:space="preserve"> gaps in employment.  </w:t>
      </w:r>
    </w:p>
    <w:p w14:paraId="4CD350E1" w14:textId="77777777" w:rsidR="0022737F" w:rsidRDefault="0022737F" w:rsidP="0022737F">
      <w:pPr>
        <w:pStyle w:val="ListParagraph"/>
        <w:spacing w:before="100" w:beforeAutospacing="1" w:after="0" w:line="240" w:lineRule="auto"/>
        <w:ind w:left="1800"/>
        <w:rPr>
          <w:rFonts w:ascii="Helvetica" w:eastAsia="Times New Roman" w:hAnsi="Helvetica" w:cs="Helvetica"/>
          <w:color w:val="111111"/>
          <w:lang w:eastAsia="en-GB"/>
        </w:rPr>
      </w:pPr>
    </w:p>
    <w:p w14:paraId="61D2AFE3" w14:textId="44D562BD" w:rsidR="0022737F" w:rsidRDefault="0022737F" w:rsidP="0022737F">
      <w:pPr>
        <w:pStyle w:val="ListParagraph"/>
        <w:numPr>
          <w:ilvl w:val="0"/>
          <w:numId w:val="11"/>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 xml:space="preserve">In Year 24-25 following the </w:t>
      </w:r>
      <w:r w:rsidR="00305452">
        <w:rPr>
          <w:rFonts w:ascii="Helvetica" w:eastAsia="Times New Roman" w:hAnsi="Helvetica" w:cs="Helvetica"/>
          <w:color w:val="111111"/>
          <w:lang w:eastAsia="en-GB"/>
        </w:rPr>
        <w:t>rollout</w:t>
      </w:r>
      <w:r>
        <w:rPr>
          <w:rFonts w:ascii="Helvetica" w:eastAsia="Times New Roman" w:hAnsi="Helvetica" w:cs="Helvetica"/>
          <w:color w:val="111111"/>
          <w:lang w:eastAsia="en-GB"/>
        </w:rPr>
        <w:t xml:space="preserve"> of </w:t>
      </w:r>
      <w:proofErr w:type="spellStart"/>
      <w:r>
        <w:rPr>
          <w:rFonts w:ascii="Helvetica" w:eastAsia="Times New Roman" w:hAnsi="Helvetica" w:cs="Helvetica"/>
          <w:color w:val="111111"/>
          <w:lang w:eastAsia="en-GB"/>
        </w:rPr>
        <w:t>iTrent</w:t>
      </w:r>
      <w:proofErr w:type="spellEnd"/>
      <w:r>
        <w:rPr>
          <w:rFonts w:ascii="Helvetica" w:eastAsia="Times New Roman" w:hAnsi="Helvetica" w:cs="Helvetica"/>
          <w:color w:val="111111"/>
          <w:lang w:eastAsia="en-GB"/>
        </w:rPr>
        <w:t xml:space="preserve"> Recruitment, regularly </w:t>
      </w:r>
      <w:r w:rsidRPr="00AC1D75">
        <w:rPr>
          <w:rFonts w:ascii="Helvetica" w:eastAsia="Times New Roman" w:hAnsi="Helvetica" w:cs="Helvetica"/>
          <w:color w:val="111111"/>
          <w:lang w:eastAsia="en-GB"/>
        </w:rPr>
        <w:t>monitor the gender balance of applicants and appointees for each role</w:t>
      </w:r>
      <w:r>
        <w:rPr>
          <w:rFonts w:ascii="Helvetica" w:eastAsia="Times New Roman" w:hAnsi="Helvetica" w:cs="Helvetica"/>
          <w:color w:val="111111"/>
          <w:lang w:eastAsia="en-GB"/>
        </w:rPr>
        <w:t xml:space="preserve">.  </w:t>
      </w:r>
    </w:p>
    <w:p w14:paraId="6AB283BC" w14:textId="77777777" w:rsidR="0022737F" w:rsidRPr="00B71B61" w:rsidRDefault="0022737F" w:rsidP="0022737F">
      <w:pPr>
        <w:pStyle w:val="ListParagraph"/>
        <w:rPr>
          <w:rFonts w:ascii="Helvetica" w:eastAsia="Times New Roman" w:hAnsi="Helvetica" w:cs="Helvetica"/>
          <w:color w:val="111111"/>
          <w:lang w:eastAsia="en-GB"/>
        </w:rPr>
      </w:pPr>
    </w:p>
    <w:p w14:paraId="5D74AF31" w14:textId="78084F38" w:rsidR="0022737F" w:rsidRDefault="00D851A3" w:rsidP="0022737F">
      <w:pPr>
        <w:pStyle w:val="ListParagraph"/>
        <w:numPr>
          <w:ilvl w:val="0"/>
          <w:numId w:val="12"/>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lastRenderedPageBreak/>
        <w:t>E</w:t>
      </w:r>
      <w:r w:rsidR="0022737F" w:rsidRPr="00291471">
        <w:rPr>
          <w:rFonts w:ascii="Helvetica" w:eastAsia="Times New Roman" w:hAnsi="Helvetica" w:cs="Helvetica"/>
          <w:color w:val="111111"/>
          <w:lang w:eastAsia="en-GB"/>
        </w:rPr>
        <w:t xml:space="preserve">ncourage schools to ensure they seek to employ a balance of males and females and that both sexes are fairly represented across </w:t>
      </w:r>
      <w:r w:rsidR="0022737F">
        <w:rPr>
          <w:rFonts w:ascii="Helvetica" w:eastAsia="Times New Roman" w:hAnsi="Helvetica" w:cs="Helvetica"/>
          <w:color w:val="111111"/>
          <w:lang w:eastAsia="en-GB"/>
        </w:rPr>
        <w:t>SL</w:t>
      </w:r>
      <w:r w:rsidR="0022737F" w:rsidRPr="00291471">
        <w:rPr>
          <w:rFonts w:ascii="Helvetica" w:eastAsia="Times New Roman" w:hAnsi="Helvetica" w:cs="Helvetica"/>
          <w:color w:val="111111"/>
          <w:lang w:eastAsia="en-GB"/>
        </w:rPr>
        <w:t xml:space="preserve">T teams.   </w:t>
      </w:r>
    </w:p>
    <w:p w14:paraId="6071DA38" w14:textId="77777777" w:rsidR="0022737F" w:rsidRPr="00291471" w:rsidRDefault="0022737F" w:rsidP="0022737F">
      <w:pPr>
        <w:pStyle w:val="ListParagraph"/>
        <w:spacing w:before="100" w:beforeAutospacing="1" w:after="0" w:line="240" w:lineRule="auto"/>
        <w:ind w:left="1800"/>
        <w:rPr>
          <w:rFonts w:ascii="Helvetica" w:eastAsia="Times New Roman" w:hAnsi="Helvetica" w:cs="Helvetica"/>
          <w:color w:val="111111"/>
          <w:lang w:eastAsia="en-GB"/>
        </w:rPr>
      </w:pPr>
    </w:p>
    <w:p w14:paraId="0ACD7402" w14:textId="38F9C27E" w:rsidR="0022737F" w:rsidRDefault="00D851A3" w:rsidP="0022737F">
      <w:pPr>
        <w:pStyle w:val="ListParagraph"/>
        <w:numPr>
          <w:ilvl w:val="0"/>
          <w:numId w:val="12"/>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E</w:t>
      </w:r>
      <w:r w:rsidR="0022737F">
        <w:rPr>
          <w:rFonts w:ascii="Helvetica" w:eastAsia="Times New Roman" w:hAnsi="Helvetica" w:cs="Helvetica"/>
          <w:color w:val="111111"/>
          <w:lang w:eastAsia="en-GB"/>
        </w:rPr>
        <w:t xml:space="preserve">ncourage third party search agencies to generate, where possible, a balanced pool of candidates. </w:t>
      </w:r>
    </w:p>
    <w:p w14:paraId="06E82627" w14:textId="77777777" w:rsidR="0022737F" w:rsidRPr="005C4F50" w:rsidRDefault="0022737F" w:rsidP="0022737F">
      <w:pPr>
        <w:pStyle w:val="ListParagraph"/>
        <w:rPr>
          <w:rFonts w:ascii="Helvetica" w:eastAsia="Times New Roman" w:hAnsi="Helvetica" w:cs="Helvetica"/>
          <w:color w:val="111111"/>
          <w:lang w:eastAsia="en-GB"/>
        </w:rPr>
      </w:pPr>
    </w:p>
    <w:p w14:paraId="130C6D34" w14:textId="77777777" w:rsidR="0022737F" w:rsidRDefault="0022737F" w:rsidP="0022737F">
      <w:pPr>
        <w:pStyle w:val="ListParagraph"/>
        <w:spacing w:before="100" w:beforeAutospacing="1" w:after="0" w:line="240" w:lineRule="auto"/>
        <w:ind w:left="1800"/>
        <w:rPr>
          <w:rFonts w:ascii="Helvetica" w:eastAsia="Times New Roman" w:hAnsi="Helvetica" w:cs="Helvetica"/>
          <w:color w:val="111111"/>
          <w:lang w:eastAsia="en-GB"/>
        </w:rPr>
      </w:pPr>
    </w:p>
    <w:p w14:paraId="5EC61EDC" w14:textId="77777777" w:rsidR="0022737F" w:rsidRPr="00812D03" w:rsidRDefault="0022737F" w:rsidP="0022737F">
      <w:pPr>
        <w:pStyle w:val="ListParagraph"/>
        <w:numPr>
          <w:ilvl w:val="0"/>
          <w:numId w:val="10"/>
        </w:numPr>
        <w:spacing w:before="100" w:beforeAutospacing="1" w:after="0" w:line="240" w:lineRule="auto"/>
        <w:rPr>
          <w:rFonts w:ascii="Helvetica" w:eastAsia="Times New Roman" w:hAnsi="Helvetica" w:cs="Helvetica"/>
          <w:b/>
          <w:bCs/>
          <w:color w:val="111111"/>
          <w:lang w:eastAsia="en-GB"/>
        </w:rPr>
      </w:pPr>
      <w:r w:rsidRPr="00812D03">
        <w:rPr>
          <w:rFonts w:ascii="Helvetica" w:eastAsia="Times New Roman" w:hAnsi="Helvetica" w:cs="Helvetica"/>
          <w:b/>
          <w:bCs/>
          <w:color w:val="111111"/>
          <w:lang w:eastAsia="en-GB"/>
        </w:rPr>
        <w:t xml:space="preserve"> Flexible Working Opportunities </w:t>
      </w:r>
    </w:p>
    <w:p w14:paraId="719AB5E3" w14:textId="77777777" w:rsidR="0022737F" w:rsidRDefault="0022737F" w:rsidP="0022737F">
      <w:pPr>
        <w:pStyle w:val="ListParagraph"/>
        <w:spacing w:before="100" w:beforeAutospacing="1" w:after="0" w:line="240" w:lineRule="auto"/>
        <w:ind w:left="1080"/>
        <w:rPr>
          <w:rFonts w:ascii="Helvetica" w:eastAsia="Times New Roman" w:hAnsi="Helvetica" w:cs="Helvetica"/>
          <w:color w:val="111111"/>
          <w:lang w:eastAsia="en-GB"/>
        </w:rPr>
      </w:pPr>
    </w:p>
    <w:p w14:paraId="5740A8BE" w14:textId="267A0AAA" w:rsidR="0022737F" w:rsidRDefault="00D851A3" w:rsidP="0022737F">
      <w:pPr>
        <w:pStyle w:val="ListParagraph"/>
        <w:numPr>
          <w:ilvl w:val="0"/>
          <w:numId w:val="12"/>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E</w:t>
      </w:r>
      <w:r w:rsidR="0022737F">
        <w:rPr>
          <w:rFonts w:ascii="Helvetica" w:eastAsia="Times New Roman" w:hAnsi="Helvetica" w:cs="Helvetica"/>
          <w:color w:val="111111"/>
          <w:lang w:eastAsia="en-GB"/>
        </w:rPr>
        <w:t xml:space="preserve">ncourage part time working opportunities and promote these equally to male and female staff. </w:t>
      </w:r>
    </w:p>
    <w:p w14:paraId="669674C9" w14:textId="77777777" w:rsidR="0022737F" w:rsidRDefault="0022737F" w:rsidP="0022737F">
      <w:pPr>
        <w:pStyle w:val="ListParagraph"/>
        <w:spacing w:before="100" w:beforeAutospacing="1" w:after="0" w:line="240" w:lineRule="auto"/>
        <w:ind w:left="1800"/>
        <w:rPr>
          <w:rFonts w:ascii="Helvetica" w:eastAsia="Times New Roman" w:hAnsi="Helvetica" w:cs="Helvetica"/>
          <w:color w:val="111111"/>
          <w:lang w:eastAsia="en-GB"/>
        </w:rPr>
      </w:pPr>
    </w:p>
    <w:p w14:paraId="350B3536" w14:textId="39230EA0" w:rsidR="0022737F" w:rsidRDefault="00D851A3" w:rsidP="0022737F">
      <w:pPr>
        <w:pStyle w:val="ListParagraph"/>
        <w:numPr>
          <w:ilvl w:val="0"/>
          <w:numId w:val="12"/>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C</w:t>
      </w:r>
      <w:r w:rsidR="0022737F">
        <w:rPr>
          <w:rFonts w:ascii="Helvetica" w:eastAsia="Times New Roman" w:hAnsi="Helvetica" w:cs="Helvetica"/>
          <w:color w:val="111111"/>
          <w:lang w:eastAsia="en-GB"/>
        </w:rPr>
        <w:t xml:space="preserve">losely follow the work being undertaken by the Department for Education on Flexible Working in Schools and to implement good practice based on the Department’s work.  </w:t>
      </w:r>
    </w:p>
    <w:p w14:paraId="0A052B91" w14:textId="77777777" w:rsidR="0022737F" w:rsidRPr="00AE781E" w:rsidRDefault="0022737F" w:rsidP="0022737F">
      <w:pPr>
        <w:pStyle w:val="ListParagraph"/>
        <w:rPr>
          <w:rFonts w:ascii="Helvetica" w:eastAsia="Times New Roman" w:hAnsi="Helvetica" w:cs="Helvetica"/>
          <w:color w:val="111111"/>
          <w:lang w:eastAsia="en-GB"/>
        </w:rPr>
      </w:pPr>
    </w:p>
    <w:p w14:paraId="03651014" w14:textId="3AD0AD21" w:rsidR="0022737F" w:rsidRDefault="00D851A3" w:rsidP="0022737F">
      <w:pPr>
        <w:pStyle w:val="ListParagraph"/>
        <w:numPr>
          <w:ilvl w:val="0"/>
          <w:numId w:val="12"/>
        </w:numPr>
        <w:spacing w:before="100" w:beforeAutospacing="1" w:after="0"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C</w:t>
      </w:r>
      <w:r w:rsidR="0022737F">
        <w:rPr>
          <w:rFonts w:ascii="Helvetica" w:eastAsia="Times New Roman" w:hAnsi="Helvetica" w:cs="Helvetica"/>
          <w:color w:val="111111"/>
          <w:lang w:eastAsia="en-GB"/>
        </w:rPr>
        <w:t xml:space="preserve">ontinue to support flexible working requests and where possible, be creative to retain quality staff who can no longer fulfil full time hours.  </w:t>
      </w:r>
    </w:p>
    <w:p w14:paraId="57267DCC" w14:textId="77777777" w:rsidR="0022737F" w:rsidRDefault="0022737F" w:rsidP="0022737F">
      <w:pPr>
        <w:pStyle w:val="ListParagraph"/>
        <w:spacing w:before="100" w:beforeAutospacing="1" w:after="0" w:line="240" w:lineRule="auto"/>
        <w:ind w:left="1800"/>
        <w:rPr>
          <w:rFonts w:ascii="Helvetica" w:eastAsia="Times New Roman" w:hAnsi="Helvetica" w:cs="Helvetica"/>
          <w:color w:val="111111"/>
          <w:lang w:eastAsia="en-GB"/>
        </w:rPr>
      </w:pPr>
    </w:p>
    <w:p w14:paraId="05322D46" w14:textId="77777777" w:rsidR="0022737F" w:rsidRPr="00AC1D75" w:rsidRDefault="0022737F" w:rsidP="0022737F">
      <w:pPr>
        <w:pStyle w:val="ListParagraph"/>
        <w:spacing w:before="100" w:beforeAutospacing="1" w:after="0" w:line="240" w:lineRule="auto"/>
        <w:ind w:left="1800"/>
        <w:rPr>
          <w:rFonts w:ascii="Helvetica" w:eastAsia="Times New Roman" w:hAnsi="Helvetica" w:cs="Helvetica"/>
          <w:color w:val="111111"/>
          <w:lang w:eastAsia="en-GB"/>
        </w:rPr>
      </w:pPr>
    </w:p>
    <w:p w14:paraId="70FF8C00" w14:textId="77777777" w:rsidR="0022737F" w:rsidRPr="00305452" w:rsidRDefault="0022737F" w:rsidP="0022737F">
      <w:pPr>
        <w:pStyle w:val="ListParagraph"/>
        <w:numPr>
          <w:ilvl w:val="0"/>
          <w:numId w:val="10"/>
        </w:numPr>
        <w:shd w:val="clear" w:color="auto" w:fill="FFFFFF"/>
        <w:spacing w:before="100" w:beforeAutospacing="1" w:after="0" w:line="240" w:lineRule="auto"/>
        <w:rPr>
          <w:rFonts w:ascii="Helvetica" w:eastAsia="Times New Roman" w:hAnsi="Helvetica" w:cs="Helvetica"/>
          <w:color w:val="1F1F1F"/>
          <w:lang w:eastAsia="en-GB"/>
        </w:rPr>
      </w:pPr>
      <w:r w:rsidRPr="00AC1D75">
        <w:rPr>
          <w:rFonts w:ascii="Helvetica" w:eastAsia="Times New Roman" w:hAnsi="Helvetica" w:cs="Helvetica"/>
          <w:b/>
          <w:bCs/>
          <w:color w:val="1F1F1F"/>
          <w:lang w:eastAsia="en-GB"/>
        </w:rPr>
        <w:t>Progression Opportunities</w:t>
      </w:r>
    </w:p>
    <w:p w14:paraId="5DC2BB63" w14:textId="77777777" w:rsidR="00305452" w:rsidRPr="00EB6F27" w:rsidRDefault="00305452" w:rsidP="00305452">
      <w:pPr>
        <w:pStyle w:val="ListParagraph"/>
        <w:shd w:val="clear" w:color="auto" w:fill="FFFFFF"/>
        <w:spacing w:before="100" w:beforeAutospacing="1" w:after="0" w:line="240" w:lineRule="auto"/>
        <w:ind w:left="1211"/>
        <w:rPr>
          <w:rFonts w:ascii="Helvetica" w:eastAsia="Times New Roman" w:hAnsi="Helvetica" w:cs="Helvetica"/>
          <w:color w:val="1F1F1F"/>
          <w:lang w:eastAsia="en-GB"/>
        </w:rPr>
      </w:pPr>
    </w:p>
    <w:p w14:paraId="16AAD756" w14:textId="685F9F40" w:rsidR="0022737F" w:rsidRDefault="00D851A3" w:rsidP="0022737F">
      <w:pPr>
        <w:pStyle w:val="ListParagraph"/>
        <w:numPr>
          <w:ilvl w:val="0"/>
          <w:numId w:val="13"/>
        </w:numPr>
        <w:shd w:val="clear" w:color="auto" w:fill="FFFFFF"/>
        <w:spacing w:before="100" w:beforeAutospacing="1" w:after="0" w:line="240" w:lineRule="auto"/>
        <w:rPr>
          <w:rFonts w:ascii="Helvetica" w:eastAsia="Times New Roman" w:hAnsi="Helvetica" w:cs="Helvetica"/>
          <w:color w:val="1F1F1F"/>
          <w:lang w:eastAsia="en-GB"/>
        </w:rPr>
      </w:pPr>
      <w:proofErr w:type="spellStart"/>
      <w:r>
        <w:rPr>
          <w:rFonts w:ascii="Helvetica" w:eastAsia="Times New Roman" w:hAnsi="Helvetica" w:cs="Helvetica"/>
          <w:color w:val="1F1F1F"/>
          <w:lang w:eastAsia="en-GB"/>
        </w:rPr>
        <w:t>D</w:t>
      </w:r>
      <w:r w:rsidR="0022737F" w:rsidRPr="00AC1D75">
        <w:rPr>
          <w:rFonts w:ascii="Helvetica" w:eastAsia="Times New Roman" w:hAnsi="Helvetica" w:cs="Helvetica"/>
          <w:color w:val="1F1F1F"/>
          <w:lang w:eastAsia="en-GB"/>
        </w:rPr>
        <w:t>eek</w:t>
      </w:r>
      <w:proofErr w:type="spellEnd"/>
      <w:r w:rsidR="0022737F" w:rsidRPr="00AC1D75">
        <w:rPr>
          <w:rFonts w:ascii="Helvetica" w:eastAsia="Times New Roman" w:hAnsi="Helvetica" w:cs="Helvetica"/>
          <w:color w:val="1F1F1F"/>
          <w:lang w:eastAsia="en-GB"/>
        </w:rPr>
        <w:t xml:space="preserve"> to understand the potential barriers to progression that exist for women at all levels.   </w:t>
      </w:r>
    </w:p>
    <w:p w14:paraId="3313B11F" w14:textId="77777777" w:rsidR="0022737F" w:rsidRDefault="0022737F" w:rsidP="0022737F">
      <w:pPr>
        <w:pStyle w:val="ListParagraph"/>
        <w:shd w:val="clear" w:color="auto" w:fill="FFFFFF"/>
        <w:spacing w:before="100" w:beforeAutospacing="1" w:after="0" w:line="240" w:lineRule="auto"/>
        <w:ind w:left="1800"/>
        <w:rPr>
          <w:rFonts w:ascii="Helvetica" w:eastAsia="Times New Roman" w:hAnsi="Helvetica" w:cs="Helvetica"/>
          <w:color w:val="1F1F1F"/>
          <w:lang w:eastAsia="en-GB"/>
        </w:rPr>
      </w:pPr>
    </w:p>
    <w:p w14:paraId="157EB28E" w14:textId="653C2A05" w:rsidR="0022737F" w:rsidRDefault="0022737F" w:rsidP="0022737F">
      <w:pPr>
        <w:pStyle w:val="ListParagraph"/>
        <w:numPr>
          <w:ilvl w:val="0"/>
          <w:numId w:val="13"/>
        </w:numPr>
        <w:shd w:val="clear" w:color="auto" w:fill="FFFFFF"/>
        <w:spacing w:before="100" w:beforeAutospacing="1" w:after="0" w:line="240" w:lineRule="auto"/>
        <w:rPr>
          <w:rFonts w:ascii="Helvetica" w:eastAsia="Times New Roman" w:hAnsi="Helvetica" w:cs="Helvetica"/>
          <w:color w:val="1F1F1F"/>
          <w:lang w:eastAsia="en-GB"/>
        </w:rPr>
      </w:pPr>
      <w:r>
        <w:rPr>
          <w:rFonts w:ascii="Helvetica" w:eastAsia="Times New Roman" w:hAnsi="Helvetica" w:cs="Helvetica"/>
          <w:color w:val="1F1F1F"/>
          <w:lang w:eastAsia="en-GB"/>
        </w:rPr>
        <w:t>For HR Partners and Headteachers</w:t>
      </w:r>
      <w:r w:rsidR="00D851A3">
        <w:rPr>
          <w:rFonts w:ascii="Helvetica" w:eastAsia="Times New Roman" w:hAnsi="Helvetica" w:cs="Helvetica"/>
          <w:color w:val="1F1F1F"/>
          <w:lang w:eastAsia="en-GB"/>
        </w:rPr>
        <w:t xml:space="preserve">, </w:t>
      </w:r>
      <w:proofErr w:type="gramStart"/>
      <w:r>
        <w:rPr>
          <w:rFonts w:ascii="Helvetica" w:eastAsia="Times New Roman" w:hAnsi="Helvetica" w:cs="Helvetica"/>
          <w:color w:val="1F1F1F"/>
          <w:lang w:eastAsia="en-GB"/>
        </w:rPr>
        <w:t>enter into</w:t>
      </w:r>
      <w:proofErr w:type="gramEnd"/>
      <w:r>
        <w:rPr>
          <w:rFonts w:ascii="Helvetica" w:eastAsia="Times New Roman" w:hAnsi="Helvetica" w:cs="Helvetica"/>
          <w:color w:val="1F1F1F"/>
          <w:lang w:eastAsia="en-GB"/>
        </w:rPr>
        <w:t xml:space="preserve"> a constructive dialogue using data from </w:t>
      </w:r>
      <w:proofErr w:type="spellStart"/>
      <w:r w:rsidRPr="00AC1D75">
        <w:rPr>
          <w:rFonts w:ascii="Helvetica" w:eastAsia="Times New Roman" w:hAnsi="Helvetica" w:cs="Helvetica"/>
          <w:color w:val="1F1F1F"/>
          <w:lang w:eastAsia="en-GB"/>
        </w:rPr>
        <w:t>iTrent</w:t>
      </w:r>
      <w:proofErr w:type="spellEnd"/>
      <w:r>
        <w:rPr>
          <w:rFonts w:ascii="Helvetica" w:eastAsia="Times New Roman" w:hAnsi="Helvetica" w:cs="Helvetica"/>
          <w:color w:val="1F1F1F"/>
          <w:lang w:eastAsia="en-GB"/>
        </w:rPr>
        <w:t xml:space="preserve"> to gain insight into succession planning, role progression and salary progression d</w:t>
      </w:r>
      <w:r w:rsidRPr="00AC1D75">
        <w:rPr>
          <w:rFonts w:ascii="Helvetica" w:eastAsia="Times New Roman" w:hAnsi="Helvetica" w:cs="Helvetica"/>
          <w:color w:val="1F1F1F"/>
          <w:lang w:eastAsia="en-GB"/>
        </w:rPr>
        <w:t>ecisions</w:t>
      </w:r>
      <w:r>
        <w:rPr>
          <w:rFonts w:ascii="Helvetica" w:eastAsia="Times New Roman" w:hAnsi="Helvetica" w:cs="Helvetica"/>
          <w:color w:val="1F1F1F"/>
          <w:lang w:eastAsia="en-GB"/>
        </w:rPr>
        <w:t xml:space="preserve"> at their schools.  </w:t>
      </w:r>
      <w:r w:rsidRPr="00AC1D75">
        <w:rPr>
          <w:rFonts w:ascii="Helvetica" w:eastAsia="Times New Roman" w:hAnsi="Helvetica" w:cs="Helvetica"/>
          <w:color w:val="1F1F1F"/>
          <w:lang w:eastAsia="en-GB"/>
        </w:rPr>
        <w:t xml:space="preserve"> </w:t>
      </w:r>
    </w:p>
    <w:p w14:paraId="5C2C0339" w14:textId="77777777" w:rsidR="00516F9F" w:rsidRPr="00516F9F" w:rsidRDefault="00516F9F" w:rsidP="00516F9F">
      <w:pPr>
        <w:pStyle w:val="ListParagraph"/>
        <w:rPr>
          <w:rFonts w:ascii="Helvetica" w:eastAsia="Times New Roman" w:hAnsi="Helvetica" w:cs="Helvetica"/>
          <w:color w:val="1F1F1F"/>
          <w:lang w:eastAsia="en-GB"/>
        </w:rPr>
      </w:pPr>
    </w:p>
    <w:p w14:paraId="1AAF7153" w14:textId="28191AB0" w:rsidR="00516F9F" w:rsidRDefault="00D851A3" w:rsidP="00516F9F">
      <w:pPr>
        <w:pStyle w:val="ListParagraph"/>
        <w:numPr>
          <w:ilvl w:val="0"/>
          <w:numId w:val="13"/>
        </w:numPr>
        <w:spacing w:before="100" w:beforeAutospacing="1" w:after="100" w:afterAutospacing="1"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 xml:space="preserve">Roll out </w:t>
      </w:r>
      <w:r w:rsidR="00516F9F">
        <w:rPr>
          <w:rFonts w:ascii="Helvetica" w:eastAsia="Times New Roman" w:hAnsi="Helvetica" w:cs="Helvetica"/>
          <w:color w:val="111111"/>
          <w:lang w:eastAsia="en-GB"/>
        </w:rPr>
        <w:t>A revised CPD framework of progression routes and development in summer term of 2024 for both teaching and support staff.</w:t>
      </w:r>
      <w:r w:rsidR="00516F9F" w:rsidRPr="00EB6F27">
        <w:rPr>
          <w:rFonts w:ascii="Helvetica" w:eastAsia="Times New Roman" w:hAnsi="Helvetica" w:cs="Helvetica"/>
          <w:color w:val="111111"/>
          <w:lang w:eastAsia="en-GB"/>
        </w:rPr>
        <w:t xml:space="preserve"> </w:t>
      </w:r>
    </w:p>
    <w:p w14:paraId="0B6C7E0A" w14:textId="77777777" w:rsidR="00516F9F" w:rsidRDefault="00516F9F" w:rsidP="00516F9F">
      <w:pPr>
        <w:pStyle w:val="ListParagraph"/>
        <w:shd w:val="clear" w:color="auto" w:fill="FFFFFF"/>
        <w:spacing w:before="100" w:beforeAutospacing="1" w:after="0" w:line="240" w:lineRule="auto"/>
        <w:ind w:left="1800"/>
        <w:rPr>
          <w:rFonts w:ascii="Helvetica" w:eastAsia="Times New Roman" w:hAnsi="Helvetica" w:cs="Helvetica"/>
          <w:color w:val="1F1F1F"/>
          <w:lang w:eastAsia="en-GB"/>
        </w:rPr>
      </w:pPr>
    </w:p>
    <w:p w14:paraId="38949F38" w14:textId="30ABAC71" w:rsidR="0022737F" w:rsidRDefault="0022737F" w:rsidP="0022737F">
      <w:pPr>
        <w:numPr>
          <w:ilvl w:val="0"/>
          <w:numId w:val="10"/>
        </w:numPr>
        <w:spacing w:before="100" w:beforeAutospacing="1" w:after="100" w:afterAutospacing="1" w:line="240" w:lineRule="auto"/>
        <w:rPr>
          <w:rFonts w:ascii="Helvetica" w:eastAsia="Times New Roman" w:hAnsi="Helvetica" w:cs="Helvetica"/>
          <w:color w:val="111111"/>
          <w:lang w:eastAsia="en-GB"/>
        </w:rPr>
      </w:pPr>
      <w:r w:rsidRPr="00AC1D75">
        <w:rPr>
          <w:rFonts w:ascii="Helvetica" w:eastAsia="Times New Roman" w:hAnsi="Helvetica" w:cs="Helvetica"/>
          <w:b/>
          <w:bCs/>
          <w:color w:val="1F1F1F"/>
          <w:lang w:eastAsia="en-GB"/>
        </w:rPr>
        <w:t xml:space="preserve">Women in Leadership </w:t>
      </w:r>
      <w:r w:rsidR="00BB359C">
        <w:rPr>
          <w:rFonts w:ascii="Helvetica" w:eastAsia="Times New Roman" w:hAnsi="Helvetica" w:cs="Helvetica"/>
          <w:b/>
          <w:bCs/>
          <w:color w:val="1F1F1F"/>
          <w:lang w:eastAsia="en-GB"/>
        </w:rPr>
        <w:t>O</w:t>
      </w:r>
      <w:r w:rsidRPr="00AC1D75">
        <w:rPr>
          <w:rFonts w:ascii="Helvetica" w:eastAsia="Times New Roman" w:hAnsi="Helvetica" w:cs="Helvetica"/>
          <w:b/>
          <w:bCs/>
          <w:color w:val="1F1F1F"/>
          <w:lang w:eastAsia="en-GB"/>
        </w:rPr>
        <w:t>pportunities</w:t>
      </w:r>
    </w:p>
    <w:p w14:paraId="38ACF293" w14:textId="3468A5AF" w:rsidR="0022737F" w:rsidRPr="00CB5ACE" w:rsidRDefault="00D851A3" w:rsidP="0022737F">
      <w:pPr>
        <w:pStyle w:val="ListParagraph"/>
        <w:numPr>
          <w:ilvl w:val="0"/>
          <w:numId w:val="14"/>
        </w:numPr>
        <w:spacing w:before="100" w:beforeAutospacing="1" w:after="100" w:afterAutospacing="1"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E</w:t>
      </w:r>
      <w:r w:rsidR="0022737F" w:rsidRPr="0077639E">
        <w:rPr>
          <w:rFonts w:ascii="Helvetica" w:eastAsia="Times New Roman" w:hAnsi="Helvetica" w:cs="Helvetica"/>
          <w:color w:val="1F1F1F"/>
          <w:lang w:eastAsia="en-GB"/>
        </w:rPr>
        <w:t>stablish a Women in Leadership group to look at barriers to leadership and initiatives to support this, including secondments, flexible working</w:t>
      </w:r>
      <w:r w:rsidR="0022737F">
        <w:rPr>
          <w:rFonts w:ascii="Helvetica" w:eastAsia="Times New Roman" w:hAnsi="Helvetica" w:cs="Helvetica"/>
          <w:color w:val="1F1F1F"/>
          <w:lang w:eastAsia="en-GB"/>
        </w:rPr>
        <w:t xml:space="preserve"> at senior levels, clearer career paths and a mentoring support scheme.  </w:t>
      </w:r>
    </w:p>
    <w:p w14:paraId="5DE2B2F7" w14:textId="77777777" w:rsidR="0022737F" w:rsidRPr="0077639E" w:rsidRDefault="0022737F" w:rsidP="0022737F">
      <w:pPr>
        <w:pStyle w:val="ListParagraph"/>
        <w:spacing w:before="100" w:beforeAutospacing="1" w:after="100" w:afterAutospacing="1" w:line="240" w:lineRule="auto"/>
        <w:ind w:left="1800"/>
        <w:rPr>
          <w:rFonts w:ascii="Helvetica" w:eastAsia="Times New Roman" w:hAnsi="Helvetica" w:cs="Helvetica"/>
          <w:color w:val="111111"/>
          <w:lang w:eastAsia="en-GB"/>
        </w:rPr>
      </w:pPr>
    </w:p>
    <w:p w14:paraId="2EAD5D1A" w14:textId="3827AC8A" w:rsidR="00305452" w:rsidRDefault="0022737F" w:rsidP="0041424A">
      <w:pPr>
        <w:pStyle w:val="ListParagraph"/>
        <w:numPr>
          <w:ilvl w:val="0"/>
          <w:numId w:val="14"/>
        </w:numPr>
        <w:spacing w:before="100" w:beforeAutospacing="1" w:after="100" w:afterAutospacing="1" w:line="240" w:lineRule="auto"/>
        <w:rPr>
          <w:rFonts w:ascii="Helvetica" w:eastAsia="Times New Roman" w:hAnsi="Helvetica" w:cs="Helvetica"/>
          <w:color w:val="111111"/>
          <w:lang w:eastAsia="en-GB"/>
        </w:rPr>
      </w:pPr>
      <w:r w:rsidRPr="00516F9F">
        <w:rPr>
          <w:rFonts w:ascii="Helvetica" w:eastAsia="Times New Roman" w:hAnsi="Helvetica" w:cs="Helvetica"/>
          <w:color w:val="111111"/>
          <w:lang w:eastAsia="en-GB"/>
        </w:rPr>
        <w:t xml:space="preserve">Encourage Heads and CPD Leads to ensure female employees are encouraged to apply for internal and external leadership programmes and consider how the apprenticeship programme can best be utilised. </w:t>
      </w:r>
    </w:p>
    <w:p w14:paraId="2C10CA3B" w14:textId="77777777" w:rsidR="00516F9F" w:rsidRPr="00516F9F" w:rsidRDefault="00516F9F" w:rsidP="00516F9F">
      <w:pPr>
        <w:pStyle w:val="ListParagraph"/>
        <w:rPr>
          <w:rFonts w:ascii="Helvetica" w:eastAsia="Times New Roman" w:hAnsi="Helvetica" w:cs="Helvetica"/>
          <w:color w:val="111111"/>
          <w:lang w:eastAsia="en-GB"/>
        </w:rPr>
      </w:pPr>
    </w:p>
    <w:p w14:paraId="00D5FB27" w14:textId="77777777" w:rsidR="00516F9F" w:rsidRPr="00516F9F" w:rsidRDefault="00516F9F" w:rsidP="00516F9F">
      <w:pPr>
        <w:pStyle w:val="ListParagraph"/>
        <w:spacing w:before="100" w:beforeAutospacing="1" w:after="100" w:afterAutospacing="1" w:line="240" w:lineRule="auto"/>
        <w:ind w:left="1800"/>
        <w:rPr>
          <w:rFonts w:ascii="Helvetica" w:eastAsia="Times New Roman" w:hAnsi="Helvetica" w:cs="Helvetica"/>
          <w:color w:val="111111"/>
          <w:lang w:eastAsia="en-GB"/>
        </w:rPr>
      </w:pPr>
    </w:p>
    <w:p w14:paraId="76B23BCF" w14:textId="119B0CD8" w:rsidR="00305452" w:rsidRDefault="00305452" w:rsidP="00305452">
      <w:pPr>
        <w:pStyle w:val="ListParagraph"/>
        <w:numPr>
          <w:ilvl w:val="0"/>
          <w:numId w:val="10"/>
        </w:numPr>
        <w:spacing w:before="100" w:beforeAutospacing="1" w:after="100" w:afterAutospacing="1" w:line="240" w:lineRule="auto"/>
        <w:rPr>
          <w:rFonts w:ascii="Helvetica" w:eastAsia="Times New Roman" w:hAnsi="Helvetica" w:cs="Helvetica"/>
          <w:b/>
          <w:bCs/>
          <w:color w:val="111111"/>
          <w:lang w:eastAsia="en-GB"/>
        </w:rPr>
      </w:pPr>
      <w:r w:rsidRPr="003053EF">
        <w:rPr>
          <w:rFonts w:ascii="Helvetica" w:eastAsia="Times New Roman" w:hAnsi="Helvetica" w:cs="Helvetica"/>
          <w:b/>
          <w:bCs/>
          <w:color w:val="111111"/>
          <w:lang w:eastAsia="en-GB"/>
        </w:rPr>
        <w:t>Policies</w:t>
      </w:r>
      <w:r w:rsidR="00FC5E20">
        <w:rPr>
          <w:rFonts w:ascii="Helvetica" w:eastAsia="Times New Roman" w:hAnsi="Helvetica" w:cs="Helvetica"/>
          <w:b/>
          <w:bCs/>
          <w:color w:val="111111"/>
          <w:lang w:eastAsia="en-GB"/>
        </w:rPr>
        <w:t xml:space="preserve">, </w:t>
      </w:r>
      <w:r w:rsidRPr="003053EF">
        <w:rPr>
          <w:rFonts w:ascii="Helvetica" w:eastAsia="Times New Roman" w:hAnsi="Helvetica" w:cs="Helvetica"/>
          <w:b/>
          <w:bCs/>
          <w:color w:val="111111"/>
          <w:lang w:eastAsia="en-GB"/>
        </w:rPr>
        <w:t>Practices</w:t>
      </w:r>
      <w:r w:rsidR="00FC5E20">
        <w:rPr>
          <w:rFonts w:ascii="Helvetica" w:eastAsia="Times New Roman" w:hAnsi="Helvetica" w:cs="Helvetica"/>
          <w:b/>
          <w:bCs/>
          <w:color w:val="111111"/>
          <w:lang w:eastAsia="en-GB"/>
        </w:rPr>
        <w:t xml:space="preserve"> and Feedback </w:t>
      </w:r>
      <w:r w:rsidRPr="003053EF">
        <w:rPr>
          <w:rFonts w:ascii="Helvetica" w:eastAsia="Times New Roman" w:hAnsi="Helvetica" w:cs="Helvetica"/>
          <w:b/>
          <w:bCs/>
          <w:color w:val="111111"/>
          <w:lang w:eastAsia="en-GB"/>
        </w:rPr>
        <w:t xml:space="preserve"> </w:t>
      </w:r>
    </w:p>
    <w:p w14:paraId="20459D45" w14:textId="77777777" w:rsidR="003053EF" w:rsidRPr="003053EF" w:rsidRDefault="003053EF" w:rsidP="003053EF">
      <w:pPr>
        <w:pStyle w:val="ListParagraph"/>
        <w:spacing w:before="100" w:beforeAutospacing="1" w:after="100" w:afterAutospacing="1" w:line="240" w:lineRule="auto"/>
        <w:ind w:left="1211"/>
        <w:rPr>
          <w:rFonts w:ascii="Helvetica" w:eastAsia="Times New Roman" w:hAnsi="Helvetica" w:cs="Helvetica"/>
          <w:b/>
          <w:bCs/>
          <w:color w:val="111111"/>
          <w:lang w:eastAsia="en-GB"/>
        </w:rPr>
      </w:pPr>
    </w:p>
    <w:p w14:paraId="2DD465EF" w14:textId="4AF8582B" w:rsidR="00305452" w:rsidRDefault="00305452" w:rsidP="00FC5E20">
      <w:pPr>
        <w:pStyle w:val="ListParagraph"/>
        <w:numPr>
          <w:ilvl w:val="0"/>
          <w:numId w:val="15"/>
        </w:numPr>
        <w:spacing w:before="100" w:beforeAutospacing="1" w:after="100" w:afterAutospacing="1"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 xml:space="preserve">Continue to keep EDI, Pay and Family Friendly policies under review and </w:t>
      </w:r>
      <w:r w:rsidR="003053EF">
        <w:rPr>
          <w:rFonts w:ascii="Helvetica" w:eastAsia="Times New Roman" w:hAnsi="Helvetica" w:cs="Helvetica"/>
          <w:color w:val="111111"/>
          <w:lang w:eastAsia="en-GB"/>
        </w:rPr>
        <w:t>keep abreast of good practice in the sector and beyond</w:t>
      </w:r>
      <w:r w:rsidR="00E0035C">
        <w:rPr>
          <w:rFonts w:ascii="Helvetica" w:eastAsia="Times New Roman" w:hAnsi="Helvetica" w:cs="Helvetica"/>
          <w:color w:val="111111"/>
          <w:lang w:eastAsia="en-GB"/>
        </w:rPr>
        <w:t xml:space="preserve"> and developments from the Department for Education</w:t>
      </w:r>
      <w:r w:rsidR="003053EF">
        <w:rPr>
          <w:rFonts w:ascii="Helvetica" w:eastAsia="Times New Roman" w:hAnsi="Helvetica" w:cs="Helvetica"/>
          <w:color w:val="111111"/>
          <w:lang w:eastAsia="en-GB"/>
        </w:rPr>
        <w:t xml:space="preserve">. </w:t>
      </w:r>
    </w:p>
    <w:p w14:paraId="152BA760" w14:textId="77777777" w:rsidR="00C64319" w:rsidRDefault="00C64319" w:rsidP="00C64319">
      <w:pPr>
        <w:pStyle w:val="ListParagraph"/>
        <w:spacing w:before="100" w:beforeAutospacing="1" w:after="100" w:afterAutospacing="1" w:line="240" w:lineRule="auto"/>
        <w:ind w:left="1931"/>
        <w:rPr>
          <w:rFonts w:ascii="Helvetica" w:eastAsia="Times New Roman" w:hAnsi="Helvetica" w:cs="Helvetica"/>
          <w:color w:val="111111"/>
          <w:lang w:eastAsia="en-GB"/>
        </w:rPr>
      </w:pPr>
    </w:p>
    <w:p w14:paraId="5CA9BDBC" w14:textId="59EF6022" w:rsidR="00CB5471" w:rsidRDefault="00CB5471" w:rsidP="00FC5E20">
      <w:pPr>
        <w:pStyle w:val="ListParagraph"/>
        <w:numPr>
          <w:ilvl w:val="0"/>
          <w:numId w:val="15"/>
        </w:numPr>
        <w:spacing w:before="100" w:beforeAutospacing="1" w:after="100" w:afterAutospacing="1" w:line="240" w:lineRule="auto"/>
        <w:rPr>
          <w:rFonts w:ascii="Helvetica" w:eastAsia="Times New Roman" w:hAnsi="Helvetica" w:cs="Helvetica"/>
          <w:color w:val="111111"/>
          <w:lang w:eastAsia="en-GB"/>
        </w:rPr>
      </w:pPr>
      <w:r>
        <w:rPr>
          <w:rFonts w:ascii="Helvetica" w:eastAsia="Times New Roman" w:hAnsi="Helvetica" w:cs="Helvetica"/>
          <w:color w:val="111111"/>
          <w:lang w:eastAsia="en-GB"/>
        </w:rPr>
        <w:t>Continue to monitor</w:t>
      </w:r>
      <w:r w:rsidR="0045513B">
        <w:rPr>
          <w:rFonts w:ascii="Helvetica" w:eastAsia="Times New Roman" w:hAnsi="Helvetica" w:cs="Helvetica"/>
          <w:color w:val="111111"/>
          <w:lang w:eastAsia="en-GB"/>
        </w:rPr>
        <w:t xml:space="preserve"> report data in </w:t>
      </w:r>
      <w:proofErr w:type="spellStart"/>
      <w:r w:rsidR="0045513B">
        <w:rPr>
          <w:rFonts w:ascii="Helvetica" w:eastAsia="Times New Roman" w:hAnsi="Helvetica" w:cs="Helvetica"/>
          <w:color w:val="111111"/>
          <w:lang w:eastAsia="en-GB"/>
        </w:rPr>
        <w:t>iTrent</w:t>
      </w:r>
      <w:proofErr w:type="spellEnd"/>
      <w:r w:rsidR="0045513B">
        <w:rPr>
          <w:rFonts w:ascii="Helvetica" w:eastAsia="Times New Roman" w:hAnsi="Helvetica" w:cs="Helvetica"/>
          <w:color w:val="111111"/>
          <w:lang w:eastAsia="en-GB"/>
        </w:rPr>
        <w:t xml:space="preserve"> </w:t>
      </w:r>
      <w:r w:rsidR="0072169C">
        <w:rPr>
          <w:rFonts w:ascii="Helvetica" w:eastAsia="Times New Roman" w:hAnsi="Helvetica" w:cs="Helvetica"/>
          <w:color w:val="111111"/>
          <w:lang w:eastAsia="en-GB"/>
        </w:rPr>
        <w:t>relating to EDI</w:t>
      </w:r>
      <w:r w:rsidR="00C64319">
        <w:rPr>
          <w:rFonts w:ascii="Helvetica" w:eastAsia="Times New Roman" w:hAnsi="Helvetica" w:cs="Helvetica"/>
          <w:color w:val="111111"/>
          <w:lang w:eastAsia="en-GB"/>
        </w:rPr>
        <w:t>, pay and progression.</w:t>
      </w:r>
    </w:p>
    <w:p w14:paraId="14F82CB2" w14:textId="77777777" w:rsidR="00FC5E20" w:rsidRDefault="00FC5E20" w:rsidP="00305452">
      <w:pPr>
        <w:pStyle w:val="ListParagraph"/>
        <w:spacing w:before="100" w:beforeAutospacing="1" w:after="100" w:afterAutospacing="1" w:line="240" w:lineRule="auto"/>
        <w:ind w:left="1211"/>
        <w:rPr>
          <w:rFonts w:ascii="Helvetica" w:eastAsia="Times New Roman" w:hAnsi="Helvetica" w:cs="Helvetica"/>
          <w:color w:val="111111"/>
          <w:lang w:eastAsia="en-GB"/>
        </w:rPr>
      </w:pPr>
    </w:p>
    <w:p w14:paraId="4516E1FB" w14:textId="77777777" w:rsidR="0022737F" w:rsidRDefault="0022737F" w:rsidP="0041424A">
      <w:pPr>
        <w:shd w:val="clear" w:color="auto" w:fill="FFFFFF"/>
        <w:spacing w:before="360" w:after="360" w:line="240" w:lineRule="auto"/>
        <w:rPr>
          <w:rFonts w:ascii="Helvetica" w:eastAsia="Times New Roman" w:hAnsi="Helvetica" w:cs="Helvetica"/>
          <w:b/>
          <w:bCs/>
          <w:color w:val="1F1F1F"/>
          <w:u w:val="single"/>
          <w:lang w:eastAsia="en-GB"/>
        </w:rPr>
      </w:pPr>
      <w:r>
        <w:rPr>
          <w:rFonts w:ascii="Helvetica" w:eastAsia="Times New Roman" w:hAnsi="Helvetica" w:cs="Helvetica"/>
          <w:b/>
          <w:bCs/>
          <w:color w:val="1F1F1F"/>
          <w:u w:val="single"/>
          <w:lang w:eastAsia="en-GB"/>
        </w:rPr>
        <w:t xml:space="preserve">Equal Pay </w:t>
      </w:r>
    </w:p>
    <w:p w14:paraId="19E8221E" w14:textId="77777777" w:rsidR="0022737F" w:rsidRPr="00872C7D" w:rsidRDefault="0022737F" w:rsidP="0041424A">
      <w:pPr>
        <w:shd w:val="clear" w:color="auto" w:fill="FFFFFF"/>
        <w:spacing w:before="360" w:after="360" w:line="240" w:lineRule="auto"/>
        <w:rPr>
          <w:rFonts w:ascii="Helvetica" w:eastAsia="Times New Roman" w:hAnsi="Helvetica" w:cs="Helvetica"/>
          <w:color w:val="1F1F1F"/>
          <w:lang w:eastAsia="en-GB"/>
        </w:rPr>
      </w:pPr>
      <w:r w:rsidRPr="00872C7D">
        <w:rPr>
          <w:rFonts w:ascii="Helvetica" w:eastAsia="Times New Roman" w:hAnsi="Helvetica" w:cs="Helvetica"/>
          <w:color w:val="1F1F1F"/>
          <w:lang w:eastAsia="en-GB"/>
        </w:rPr>
        <w:t xml:space="preserve">Although equal pay is different </w:t>
      </w:r>
      <w:r>
        <w:rPr>
          <w:rFonts w:ascii="Helvetica" w:eastAsia="Times New Roman" w:hAnsi="Helvetica" w:cs="Helvetica"/>
          <w:color w:val="1F1F1F"/>
          <w:lang w:eastAsia="en-GB"/>
        </w:rPr>
        <w:t>from</w:t>
      </w:r>
      <w:r w:rsidRPr="00872C7D">
        <w:rPr>
          <w:rFonts w:ascii="Helvetica" w:eastAsia="Times New Roman" w:hAnsi="Helvetica" w:cs="Helvetica"/>
          <w:color w:val="1F1F1F"/>
          <w:lang w:eastAsia="en-GB"/>
        </w:rPr>
        <w:t xml:space="preserve"> gender pay, it is imperative that those making appointment decisions are cognisant of equal pay</w:t>
      </w:r>
      <w:r>
        <w:rPr>
          <w:rFonts w:ascii="Helvetica" w:eastAsia="Times New Roman" w:hAnsi="Helvetica" w:cs="Helvetica"/>
          <w:color w:val="1F1F1F"/>
          <w:lang w:eastAsia="en-GB"/>
        </w:rPr>
        <w:t xml:space="preserve"> for males and females</w:t>
      </w:r>
      <w:r w:rsidRPr="00872C7D">
        <w:rPr>
          <w:rFonts w:ascii="Helvetica" w:eastAsia="Times New Roman" w:hAnsi="Helvetica" w:cs="Helvetica"/>
          <w:color w:val="1F1F1F"/>
          <w:lang w:eastAsia="en-GB"/>
        </w:rPr>
        <w:t xml:space="preserve">, both in terms of males and females in </w:t>
      </w:r>
      <w:r>
        <w:rPr>
          <w:rFonts w:ascii="Helvetica" w:eastAsia="Times New Roman" w:hAnsi="Helvetica" w:cs="Helvetica"/>
          <w:color w:val="1F1F1F"/>
          <w:lang w:eastAsia="en-GB"/>
        </w:rPr>
        <w:t xml:space="preserve">identical </w:t>
      </w:r>
      <w:r w:rsidRPr="00872C7D">
        <w:rPr>
          <w:rFonts w:ascii="Helvetica" w:eastAsia="Times New Roman" w:hAnsi="Helvetica" w:cs="Helvetica"/>
          <w:color w:val="1F1F1F"/>
          <w:lang w:eastAsia="en-GB"/>
        </w:rPr>
        <w:t>job</w:t>
      </w:r>
      <w:r>
        <w:rPr>
          <w:rFonts w:ascii="Helvetica" w:eastAsia="Times New Roman" w:hAnsi="Helvetica" w:cs="Helvetica"/>
          <w:color w:val="1F1F1F"/>
          <w:lang w:eastAsia="en-GB"/>
        </w:rPr>
        <w:t>s a</w:t>
      </w:r>
      <w:r w:rsidRPr="00872C7D">
        <w:rPr>
          <w:rFonts w:ascii="Helvetica" w:eastAsia="Times New Roman" w:hAnsi="Helvetica" w:cs="Helvetica"/>
          <w:color w:val="1F1F1F"/>
          <w:lang w:eastAsia="en-GB"/>
        </w:rPr>
        <w:t xml:space="preserve">nd those </w:t>
      </w:r>
      <w:r>
        <w:rPr>
          <w:rFonts w:ascii="Helvetica" w:eastAsia="Times New Roman" w:hAnsi="Helvetica" w:cs="Helvetica"/>
          <w:color w:val="1F1F1F"/>
          <w:lang w:eastAsia="en-GB"/>
        </w:rPr>
        <w:t xml:space="preserve">who fall into the ‘work of equal value’ category.  </w:t>
      </w:r>
      <w:r w:rsidRPr="00872C7D">
        <w:rPr>
          <w:rFonts w:ascii="Helvetica" w:eastAsia="Times New Roman" w:hAnsi="Helvetica" w:cs="Helvetica"/>
          <w:color w:val="1F1F1F"/>
          <w:lang w:eastAsia="en-GB"/>
        </w:rPr>
        <w:t xml:space="preserve">  </w:t>
      </w:r>
    </w:p>
    <w:p w14:paraId="419ADEB0" w14:textId="164B4BF4" w:rsidR="004B611E" w:rsidRPr="00BD7D7B" w:rsidRDefault="004B611E" w:rsidP="004B611E">
      <w:pPr>
        <w:rPr>
          <w:rFonts w:ascii="Helvetica" w:hAnsi="Helvetica" w:cs="Helvetica"/>
        </w:rPr>
      </w:pPr>
      <w:r w:rsidRPr="7706CFD1">
        <w:rPr>
          <w:rFonts w:ascii="Helvetica" w:hAnsi="Helvetica" w:cs="Helvetica"/>
        </w:rPr>
        <w:lastRenderedPageBreak/>
        <w:t xml:space="preserve">We recognise that none of the above will remove gender inequality alone, and that it may take </w:t>
      </w:r>
      <w:r w:rsidR="00C6445A" w:rsidRPr="7706CFD1">
        <w:rPr>
          <w:rFonts w:ascii="Helvetica" w:hAnsi="Helvetica" w:cs="Helvetica"/>
        </w:rPr>
        <w:t xml:space="preserve">time </w:t>
      </w:r>
      <w:r w:rsidRPr="7706CFD1">
        <w:rPr>
          <w:rFonts w:ascii="Helvetica" w:hAnsi="Helvetica" w:cs="Helvetica"/>
        </w:rPr>
        <w:t xml:space="preserve">before the full impact of some of these objectives are felt. </w:t>
      </w:r>
    </w:p>
    <w:p w14:paraId="7543D604" w14:textId="77777777" w:rsidR="00D90F9B" w:rsidRPr="00BD7D7B" w:rsidRDefault="00D90F9B" w:rsidP="00D90F9B">
      <w:pPr>
        <w:rPr>
          <w:rFonts w:ascii="Helvetica" w:hAnsi="Helvetica" w:cs="Helvetica"/>
        </w:rPr>
      </w:pPr>
      <w:r w:rsidRPr="7706CFD1">
        <w:rPr>
          <w:rFonts w:ascii="Helvetica" w:hAnsi="Helvetica" w:cs="Helvetica"/>
        </w:rPr>
        <w:t>We will continue to strive to ensure we are a fair employer and that our salaries are competitive and in line with others within the sector.</w:t>
      </w:r>
    </w:p>
    <w:p w14:paraId="3037E6DA" w14:textId="3171E370" w:rsidR="00B97421" w:rsidRPr="00BD7D7B" w:rsidRDefault="00B97421" w:rsidP="00BB36C8">
      <w:pPr>
        <w:rPr>
          <w:rFonts w:ascii="Helvetica" w:hAnsi="Helvetica" w:cs="Helvetica"/>
        </w:rPr>
      </w:pPr>
      <w:r w:rsidRPr="7706CFD1">
        <w:rPr>
          <w:rFonts w:ascii="Helvetica" w:hAnsi="Helvetica" w:cs="Helvetica"/>
        </w:rPr>
        <w:t xml:space="preserve">I, </w:t>
      </w:r>
      <w:r w:rsidR="00BD0D19" w:rsidRPr="7706CFD1">
        <w:rPr>
          <w:rFonts w:ascii="Helvetica" w:hAnsi="Helvetica" w:cs="Helvetica"/>
        </w:rPr>
        <w:t>Jodh D</w:t>
      </w:r>
      <w:r w:rsidR="00A364AA" w:rsidRPr="7706CFD1">
        <w:rPr>
          <w:rFonts w:ascii="Helvetica" w:hAnsi="Helvetica" w:cs="Helvetica"/>
        </w:rPr>
        <w:t>hesi</w:t>
      </w:r>
      <w:r w:rsidRPr="7706CFD1">
        <w:rPr>
          <w:rFonts w:ascii="Helvetica" w:hAnsi="Helvetica" w:cs="Helvetica"/>
        </w:rPr>
        <w:t xml:space="preserve">, </w:t>
      </w:r>
      <w:r w:rsidR="00BD0D19" w:rsidRPr="7706CFD1">
        <w:rPr>
          <w:rFonts w:ascii="Helvetica" w:hAnsi="Helvetica" w:cs="Helvetica"/>
        </w:rPr>
        <w:t>CEO</w:t>
      </w:r>
      <w:r w:rsidRPr="7706CFD1">
        <w:rPr>
          <w:rFonts w:ascii="Helvetica" w:hAnsi="Helvetica" w:cs="Helvetica"/>
        </w:rPr>
        <w:t>, confirm that the information in this statement is accurate.</w:t>
      </w:r>
    </w:p>
    <w:p w14:paraId="6C2FE017" w14:textId="208629EF" w:rsidR="009A03A0" w:rsidRPr="00BD7D7B" w:rsidRDefault="009A03A0" w:rsidP="00BB36C8">
      <w:pPr>
        <w:rPr>
          <w:rFonts w:ascii="Helvetica" w:hAnsi="Helvetica" w:cs="Helvetica"/>
        </w:rPr>
      </w:pPr>
    </w:p>
    <w:p w14:paraId="75DC1F63" w14:textId="0C0A109A" w:rsidR="00B97421" w:rsidRPr="00BD7D7B" w:rsidRDefault="00E162CD" w:rsidP="00BB36C8">
      <w:pPr>
        <w:rPr>
          <w:rFonts w:ascii="Helvetica" w:hAnsi="Helvetica" w:cs="Helvetica"/>
        </w:rPr>
      </w:pPr>
      <w:r w:rsidRPr="00BD7D7B">
        <w:rPr>
          <w:rFonts w:ascii="Helvetica" w:hAnsi="Helvetica" w:cs="Helvetica"/>
        </w:rPr>
        <w:t>Signed:</w:t>
      </w:r>
      <w:r w:rsidRPr="00BD7D7B">
        <w:rPr>
          <w:rFonts w:ascii="Helvetica" w:hAnsi="Helvetica" w:cs="Helvetica"/>
        </w:rPr>
        <w:tab/>
      </w:r>
      <w:r w:rsidR="006E0FEC" w:rsidRPr="00BD7D7B">
        <w:rPr>
          <w:noProof/>
        </w:rPr>
        <w:drawing>
          <wp:inline distT="0" distB="0" distL="0" distR="0" wp14:anchorId="792B89C8" wp14:editId="07BBF9A0">
            <wp:extent cx="948267" cy="317282"/>
            <wp:effectExtent l="0" t="0" r="4445" b="698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4"/>
                    <a:srcRect l="37669" t="40575" r="50587" b="52439"/>
                    <a:stretch/>
                  </pic:blipFill>
                  <pic:spPr bwMode="auto">
                    <a:xfrm>
                      <a:off x="0" y="0"/>
                      <a:ext cx="1006444" cy="336748"/>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73A25FBC" w14:textId="5CF1085F" w:rsidR="0045123C" w:rsidRPr="00BD7D7B" w:rsidRDefault="0045123C" w:rsidP="00BB36C8">
      <w:pPr>
        <w:rPr>
          <w:rFonts w:ascii="Helvetica" w:hAnsi="Helvetica" w:cs="Helvetica"/>
        </w:rPr>
      </w:pPr>
    </w:p>
    <w:p w14:paraId="1CECC4E9" w14:textId="142AA7A4" w:rsidR="0045123C" w:rsidRPr="00586666" w:rsidRDefault="0045123C" w:rsidP="00BB36C8">
      <w:pPr>
        <w:rPr>
          <w:rFonts w:ascii="Helvetica" w:hAnsi="Helvetica" w:cs="Helvetica"/>
        </w:rPr>
      </w:pPr>
      <w:r w:rsidRPr="7706CFD1">
        <w:rPr>
          <w:rFonts w:ascii="Helvetica" w:hAnsi="Helvetica" w:cs="Helvetica"/>
        </w:rPr>
        <w:t xml:space="preserve">Dated: </w:t>
      </w:r>
      <w:r w:rsidR="00FC3261" w:rsidRPr="7706CFD1">
        <w:rPr>
          <w:rFonts w:ascii="Helvetica" w:hAnsi="Helvetica" w:cs="Helvetica"/>
        </w:rPr>
        <w:t xml:space="preserve">   </w:t>
      </w:r>
      <w:r w:rsidR="00584D0C" w:rsidRPr="7706CFD1">
        <w:rPr>
          <w:rFonts w:ascii="Helvetica" w:hAnsi="Helvetica" w:cs="Helvetica"/>
        </w:rPr>
        <w:t>9</w:t>
      </w:r>
      <w:r w:rsidR="00584D0C" w:rsidRPr="7706CFD1">
        <w:rPr>
          <w:rFonts w:ascii="Helvetica" w:hAnsi="Helvetica" w:cs="Helvetica"/>
          <w:vertAlign w:val="superscript"/>
        </w:rPr>
        <w:t xml:space="preserve">th </w:t>
      </w:r>
      <w:r w:rsidR="00584D0C" w:rsidRPr="7706CFD1">
        <w:rPr>
          <w:rFonts w:ascii="Helvetica" w:hAnsi="Helvetica" w:cs="Helvetica"/>
        </w:rPr>
        <w:t>April 2024</w:t>
      </w:r>
    </w:p>
    <w:sectPr w:rsidR="0045123C" w:rsidRPr="00586666" w:rsidSect="00750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8376E"/>
    <w:multiLevelType w:val="hybridMultilevel"/>
    <w:tmpl w:val="6AB4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B7D"/>
    <w:multiLevelType w:val="hybridMultilevel"/>
    <w:tmpl w:val="D6DC7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13AD5"/>
    <w:multiLevelType w:val="hybridMultilevel"/>
    <w:tmpl w:val="9CD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C1FF0"/>
    <w:multiLevelType w:val="hybridMultilevel"/>
    <w:tmpl w:val="EF9AB03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 w15:restartNumberingAfterBreak="0">
    <w:nsid w:val="403155C1"/>
    <w:multiLevelType w:val="hybridMultilevel"/>
    <w:tmpl w:val="38A0C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72A4B07"/>
    <w:multiLevelType w:val="hybridMultilevel"/>
    <w:tmpl w:val="1AF4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23C53"/>
    <w:multiLevelType w:val="hybridMultilevel"/>
    <w:tmpl w:val="D3CCF0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5BE1E9D"/>
    <w:multiLevelType w:val="hybridMultilevel"/>
    <w:tmpl w:val="0AE4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21C3D"/>
    <w:multiLevelType w:val="hybridMultilevel"/>
    <w:tmpl w:val="21C01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A39185E"/>
    <w:multiLevelType w:val="hybridMultilevel"/>
    <w:tmpl w:val="2DA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91DA3"/>
    <w:multiLevelType w:val="hybridMultilevel"/>
    <w:tmpl w:val="D8A25882"/>
    <w:lvl w:ilvl="0" w:tplc="F3FE22F6">
      <w:start w:val="1"/>
      <w:numFmt w:val="decimal"/>
      <w:lvlText w:val="%1."/>
      <w:lvlJc w:val="left"/>
      <w:pPr>
        <w:ind w:left="1211" w:hanging="360"/>
      </w:pPr>
      <w:rPr>
        <w:rFonts w:hint="default"/>
        <w:b/>
        <w:bCs/>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1" w15:restartNumberingAfterBreak="0">
    <w:nsid w:val="64502251"/>
    <w:multiLevelType w:val="hybridMultilevel"/>
    <w:tmpl w:val="5B10C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5C54658"/>
    <w:multiLevelType w:val="hybridMultilevel"/>
    <w:tmpl w:val="A38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A6895"/>
    <w:multiLevelType w:val="hybridMultilevel"/>
    <w:tmpl w:val="D6EEF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910E3"/>
    <w:multiLevelType w:val="hybridMultilevel"/>
    <w:tmpl w:val="140E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583508">
    <w:abstractNumId w:val="14"/>
  </w:num>
  <w:num w:numId="2" w16cid:durableId="1743867054">
    <w:abstractNumId w:val="5"/>
  </w:num>
  <w:num w:numId="3" w16cid:durableId="562643345">
    <w:abstractNumId w:val="0"/>
  </w:num>
  <w:num w:numId="4" w16cid:durableId="1365131164">
    <w:abstractNumId w:val="1"/>
  </w:num>
  <w:num w:numId="5" w16cid:durableId="217323761">
    <w:abstractNumId w:val="2"/>
  </w:num>
  <w:num w:numId="6" w16cid:durableId="1116366168">
    <w:abstractNumId w:val="13"/>
  </w:num>
  <w:num w:numId="7" w16cid:durableId="1948583861">
    <w:abstractNumId w:val="7"/>
  </w:num>
  <w:num w:numId="8" w16cid:durableId="38864763">
    <w:abstractNumId w:val="9"/>
  </w:num>
  <w:num w:numId="9" w16cid:durableId="880898985">
    <w:abstractNumId w:val="12"/>
  </w:num>
  <w:num w:numId="10" w16cid:durableId="515770748">
    <w:abstractNumId w:val="10"/>
  </w:num>
  <w:num w:numId="11" w16cid:durableId="954213933">
    <w:abstractNumId w:val="8"/>
  </w:num>
  <w:num w:numId="12" w16cid:durableId="2080126241">
    <w:abstractNumId w:val="11"/>
  </w:num>
  <w:num w:numId="13" w16cid:durableId="277688267">
    <w:abstractNumId w:val="4"/>
  </w:num>
  <w:num w:numId="14" w16cid:durableId="912085025">
    <w:abstractNumId w:val="6"/>
  </w:num>
  <w:num w:numId="15" w16cid:durableId="1733428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NTI0NDI1tzSyNDZR0lEKTi0uzszPAykwrAUAYLoD0CwAAAA="/>
  </w:docVars>
  <w:rsids>
    <w:rsidRoot w:val="00D8182B"/>
    <w:rsid w:val="00001D01"/>
    <w:rsid w:val="00007C9C"/>
    <w:rsid w:val="00011D20"/>
    <w:rsid w:val="000134CE"/>
    <w:rsid w:val="00014FE8"/>
    <w:rsid w:val="00016893"/>
    <w:rsid w:val="00020F04"/>
    <w:rsid w:val="0002615F"/>
    <w:rsid w:val="000372B2"/>
    <w:rsid w:val="00042EC8"/>
    <w:rsid w:val="00044503"/>
    <w:rsid w:val="00044B83"/>
    <w:rsid w:val="00044F98"/>
    <w:rsid w:val="00051725"/>
    <w:rsid w:val="00052803"/>
    <w:rsid w:val="00061662"/>
    <w:rsid w:val="00062356"/>
    <w:rsid w:val="00062AC7"/>
    <w:rsid w:val="00067897"/>
    <w:rsid w:val="000709B0"/>
    <w:rsid w:val="00073AD0"/>
    <w:rsid w:val="0007607D"/>
    <w:rsid w:val="00077164"/>
    <w:rsid w:val="00083B01"/>
    <w:rsid w:val="000872A1"/>
    <w:rsid w:val="00092B69"/>
    <w:rsid w:val="000A4C67"/>
    <w:rsid w:val="000A52D5"/>
    <w:rsid w:val="000A6AAE"/>
    <w:rsid w:val="000B0821"/>
    <w:rsid w:val="000C04AC"/>
    <w:rsid w:val="000C0FA9"/>
    <w:rsid w:val="000C2F46"/>
    <w:rsid w:val="000C3F8E"/>
    <w:rsid w:val="000C44AE"/>
    <w:rsid w:val="000E004F"/>
    <w:rsid w:val="000E192C"/>
    <w:rsid w:val="000F1AA8"/>
    <w:rsid w:val="00101FE0"/>
    <w:rsid w:val="001052F1"/>
    <w:rsid w:val="0010719B"/>
    <w:rsid w:val="001156A0"/>
    <w:rsid w:val="001362AB"/>
    <w:rsid w:val="00142F32"/>
    <w:rsid w:val="0014323C"/>
    <w:rsid w:val="00155896"/>
    <w:rsid w:val="0018220B"/>
    <w:rsid w:val="00190672"/>
    <w:rsid w:val="001A3402"/>
    <w:rsid w:val="001A4C02"/>
    <w:rsid w:val="001A7597"/>
    <w:rsid w:val="001B10E7"/>
    <w:rsid w:val="001B2D08"/>
    <w:rsid w:val="001B3F8C"/>
    <w:rsid w:val="001C5123"/>
    <w:rsid w:val="001C6665"/>
    <w:rsid w:val="001C70C3"/>
    <w:rsid w:val="001C7512"/>
    <w:rsid w:val="001D237A"/>
    <w:rsid w:val="001D5A9B"/>
    <w:rsid w:val="001D7C06"/>
    <w:rsid w:val="001E07E2"/>
    <w:rsid w:val="001E225E"/>
    <w:rsid w:val="001E2A67"/>
    <w:rsid w:val="001E42F6"/>
    <w:rsid w:val="00200F7A"/>
    <w:rsid w:val="00202460"/>
    <w:rsid w:val="0021782C"/>
    <w:rsid w:val="00217E93"/>
    <w:rsid w:val="0022015D"/>
    <w:rsid w:val="00222904"/>
    <w:rsid w:val="00224EB7"/>
    <w:rsid w:val="0022737F"/>
    <w:rsid w:val="00231B54"/>
    <w:rsid w:val="00247405"/>
    <w:rsid w:val="002548C7"/>
    <w:rsid w:val="00256CB5"/>
    <w:rsid w:val="00262F9A"/>
    <w:rsid w:val="00264803"/>
    <w:rsid w:val="00265213"/>
    <w:rsid w:val="00266756"/>
    <w:rsid w:val="00275C03"/>
    <w:rsid w:val="002765C2"/>
    <w:rsid w:val="0028044A"/>
    <w:rsid w:val="00280E6B"/>
    <w:rsid w:val="00296C0B"/>
    <w:rsid w:val="002A0A02"/>
    <w:rsid w:val="002A0BDC"/>
    <w:rsid w:val="002A7200"/>
    <w:rsid w:val="002A7890"/>
    <w:rsid w:val="002B081A"/>
    <w:rsid w:val="002C7B97"/>
    <w:rsid w:val="002E0161"/>
    <w:rsid w:val="003043D0"/>
    <w:rsid w:val="003053EF"/>
    <w:rsid w:val="00305452"/>
    <w:rsid w:val="003055FE"/>
    <w:rsid w:val="00306325"/>
    <w:rsid w:val="0031059D"/>
    <w:rsid w:val="003152A8"/>
    <w:rsid w:val="003213FA"/>
    <w:rsid w:val="003235B2"/>
    <w:rsid w:val="00330F49"/>
    <w:rsid w:val="003327A6"/>
    <w:rsid w:val="00335127"/>
    <w:rsid w:val="003426AA"/>
    <w:rsid w:val="00342FC8"/>
    <w:rsid w:val="00343928"/>
    <w:rsid w:val="00352129"/>
    <w:rsid w:val="0035221C"/>
    <w:rsid w:val="00354403"/>
    <w:rsid w:val="00361955"/>
    <w:rsid w:val="00373D98"/>
    <w:rsid w:val="00381B29"/>
    <w:rsid w:val="00390D43"/>
    <w:rsid w:val="00391090"/>
    <w:rsid w:val="0039610E"/>
    <w:rsid w:val="003A101D"/>
    <w:rsid w:val="003A2365"/>
    <w:rsid w:val="003A3FCA"/>
    <w:rsid w:val="003A4013"/>
    <w:rsid w:val="003C3D97"/>
    <w:rsid w:val="003D01B4"/>
    <w:rsid w:val="003D0D28"/>
    <w:rsid w:val="003E6325"/>
    <w:rsid w:val="003E79F3"/>
    <w:rsid w:val="003F5426"/>
    <w:rsid w:val="00401508"/>
    <w:rsid w:val="0040299A"/>
    <w:rsid w:val="00404903"/>
    <w:rsid w:val="0041424A"/>
    <w:rsid w:val="00430231"/>
    <w:rsid w:val="004303AA"/>
    <w:rsid w:val="00431DE7"/>
    <w:rsid w:val="00432C78"/>
    <w:rsid w:val="00434808"/>
    <w:rsid w:val="0045123C"/>
    <w:rsid w:val="0045513B"/>
    <w:rsid w:val="00456C08"/>
    <w:rsid w:val="00476859"/>
    <w:rsid w:val="00484381"/>
    <w:rsid w:val="004855A5"/>
    <w:rsid w:val="004872F5"/>
    <w:rsid w:val="00487849"/>
    <w:rsid w:val="00491A5D"/>
    <w:rsid w:val="004A2F40"/>
    <w:rsid w:val="004A5C00"/>
    <w:rsid w:val="004A64AC"/>
    <w:rsid w:val="004B611E"/>
    <w:rsid w:val="004C0F3C"/>
    <w:rsid w:val="004C3148"/>
    <w:rsid w:val="004C3485"/>
    <w:rsid w:val="004C3CAB"/>
    <w:rsid w:val="004C44E0"/>
    <w:rsid w:val="004E0121"/>
    <w:rsid w:val="004E2AD4"/>
    <w:rsid w:val="004E7537"/>
    <w:rsid w:val="004F735C"/>
    <w:rsid w:val="004F7792"/>
    <w:rsid w:val="005062E3"/>
    <w:rsid w:val="00511CA1"/>
    <w:rsid w:val="00516F9F"/>
    <w:rsid w:val="0052128D"/>
    <w:rsid w:val="00521A7B"/>
    <w:rsid w:val="00523798"/>
    <w:rsid w:val="00523B9D"/>
    <w:rsid w:val="00525142"/>
    <w:rsid w:val="005263D1"/>
    <w:rsid w:val="00536A78"/>
    <w:rsid w:val="00540E3E"/>
    <w:rsid w:val="0054249C"/>
    <w:rsid w:val="0054639C"/>
    <w:rsid w:val="00573559"/>
    <w:rsid w:val="005743C9"/>
    <w:rsid w:val="0057622E"/>
    <w:rsid w:val="0057662D"/>
    <w:rsid w:val="00580674"/>
    <w:rsid w:val="005836CF"/>
    <w:rsid w:val="00583A8E"/>
    <w:rsid w:val="00584D0C"/>
    <w:rsid w:val="00584D71"/>
    <w:rsid w:val="00586129"/>
    <w:rsid w:val="00586666"/>
    <w:rsid w:val="005904AB"/>
    <w:rsid w:val="00590C1F"/>
    <w:rsid w:val="00593A08"/>
    <w:rsid w:val="005941DF"/>
    <w:rsid w:val="00594363"/>
    <w:rsid w:val="00594DFD"/>
    <w:rsid w:val="005A261F"/>
    <w:rsid w:val="005B0A01"/>
    <w:rsid w:val="005B750F"/>
    <w:rsid w:val="005C24AD"/>
    <w:rsid w:val="005C4829"/>
    <w:rsid w:val="005D3051"/>
    <w:rsid w:val="005D6203"/>
    <w:rsid w:val="005F0EF9"/>
    <w:rsid w:val="005F360B"/>
    <w:rsid w:val="005F4885"/>
    <w:rsid w:val="005F6759"/>
    <w:rsid w:val="006033CA"/>
    <w:rsid w:val="0060756F"/>
    <w:rsid w:val="00633929"/>
    <w:rsid w:val="006363DC"/>
    <w:rsid w:val="00636717"/>
    <w:rsid w:val="006417BE"/>
    <w:rsid w:val="006473D3"/>
    <w:rsid w:val="00654794"/>
    <w:rsid w:val="006565C2"/>
    <w:rsid w:val="00663764"/>
    <w:rsid w:val="00663E7B"/>
    <w:rsid w:val="00666185"/>
    <w:rsid w:val="0066662E"/>
    <w:rsid w:val="006747E5"/>
    <w:rsid w:val="00675405"/>
    <w:rsid w:val="00680655"/>
    <w:rsid w:val="006808DE"/>
    <w:rsid w:val="00686A95"/>
    <w:rsid w:val="00687964"/>
    <w:rsid w:val="00690466"/>
    <w:rsid w:val="00694758"/>
    <w:rsid w:val="006A2C47"/>
    <w:rsid w:val="006A58FD"/>
    <w:rsid w:val="006B1280"/>
    <w:rsid w:val="006B14BD"/>
    <w:rsid w:val="006B6429"/>
    <w:rsid w:val="006B70B5"/>
    <w:rsid w:val="006C4EE0"/>
    <w:rsid w:val="006D0BB2"/>
    <w:rsid w:val="006D15B8"/>
    <w:rsid w:val="006D32C3"/>
    <w:rsid w:val="006D7A8C"/>
    <w:rsid w:val="006E0FEC"/>
    <w:rsid w:val="006E1997"/>
    <w:rsid w:val="006F03B2"/>
    <w:rsid w:val="006F1458"/>
    <w:rsid w:val="006F5308"/>
    <w:rsid w:val="006F7388"/>
    <w:rsid w:val="00701C87"/>
    <w:rsid w:val="00712A39"/>
    <w:rsid w:val="00712CC3"/>
    <w:rsid w:val="007131E8"/>
    <w:rsid w:val="007146A1"/>
    <w:rsid w:val="0072169C"/>
    <w:rsid w:val="00721A42"/>
    <w:rsid w:val="007232DE"/>
    <w:rsid w:val="00730561"/>
    <w:rsid w:val="00733FB7"/>
    <w:rsid w:val="00736C8F"/>
    <w:rsid w:val="00741E28"/>
    <w:rsid w:val="00742454"/>
    <w:rsid w:val="00745078"/>
    <w:rsid w:val="00750165"/>
    <w:rsid w:val="0075177B"/>
    <w:rsid w:val="0075521D"/>
    <w:rsid w:val="00755A33"/>
    <w:rsid w:val="00760485"/>
    <w:rsid w:val="00761223"/>
    <w:rsid w:val="007641A3"/>
    <w:rsid w:val="0077110F"/>
    <w:rsid w:val="007711E6"/>
    <w:rsid w:val="00772177"/>
    <w:rsid w:val="00772B5E"/>
    <w:rsid w:val="00774309"/>
    <w:rsid w:val="00782455"/>
    <w:rsid w:val="007843AC"/>
    <w:rsid w:val="007855AA"/>
    <w:rsid w:val="00790678"/>
    <w:rsid w:val="00794C0A"/>
    <w:rsid w:val="00796EC8"/>
    <w:rsid w:val="007A3F89"/>
    <w:rsid w:val="007A4122"/>
    <w:rsid w:val="007C3109"/>
    <w:rsid w:val="007C585C"/>
    <w:rsid w:val="007C7E25"/>
    <w:rsid w:val="007E308B"/>
    <w:rsid w:val="007E55E6"/>
    <w:rsid w:val="007E5E73"/>
    <w:rsid w:val="007F15FE"/>
    <w:rsid w:val="007F5704"/>
    <w:rsid w:val="007F599E"/>
    <w:rsid w:val="007F77BA"/>
    <w:rsid w:val="00804CE3"/>
    <w:rsid w:val="00807B9B"/>
    <w:rsid w:val="008102BC"/>
    <w:rsid w:val="00810B6E"/>
    <w:rsid w:val="00811B8A"/>
    <w:rsid w:val="00813D02"/>
    <w:rsid w:val="00814403"/>
    <w:rsid w:val="00816262"/>
    <w:rsid w:val="008270DE"/>
    <w:rsid w:val="00830E03"/>
    <w:rsid w:val="0083282F"/>
    <w:rsid w:val="00833240"/>
    <w:rsid w:val="00846F61"/>
    <w:rsid w:val="0085560F"/>
    <w:rsid w:val="00860E3B"/>
    <w:rsid w:val="00865E1F"/>
    <w:rsid w:val="008827FA"/>
    <w:rsid w:val="00885962"/>
    <w:rsid w:val="008B2D08"/>
    <w:rsid w:val="008C123F"/>
    <w:rsid w:val="008C6D8A"/>
    <w:rsid w:val="008C71D7"/>
    <w:rsid w:val="008D41DA"/>
    <w:rsid w:val="008D5199"/>
    <w:rsid w:val="008D5A8B"/>
    <w:rsid w:val="008D6953"/>
    <w:rsid w:val="008E0E3D"/>
    <w:rsid w:val="008F4727"/>
    <w:rsid w:val="008F4754"/>
    <w:rsid w:val="008F794D"/>
    <w:rsid w:val="00904D3B"/>
    <w:rsid w:val="00905597"/>
    <w:rsid w:val="009115C6"/>
    <w:rsid w:val="00920B08"/>
    <w:rsid w:val="00930C48"/>
    <w:rsid w:val="00930D00"/>
    <w:rsid w:val="00936C50"/>
    <w:rsid w:val="009464DE"/>
    <w:rsid w:val="009471C9"/>
    <w:rsid w:val="009479C8"/>
    <w:rsid w:val="009501C5"/>
    <w:rsid w:val="009516B2"/>
    <w:rsid w:val="00952F27"/>
    <w:rsid w:val="009566A5"/>
    <w:rsid w:val="0096489D"/>
    <w:rsid w:val="009653E6"/>
    <w:rsid w:val="00972485"/>
    <w:rsid w:val="0097347D"/>
    <w:rsid w:val="00974246"/>
    <w:rsid w:val="009819E6"/>
    <w:rsid w:val="00982A0B"/>
    <w:rsid w:val="0098512A"/>
    <w:rsid w:val="00990DBD"/>
    <w:rsid w:val="00991060"/>
    <w:rsid w:val="00995927"/>
    <w:rsid w:val="009A03A0"/>
    <w:rsid w:val="009A0457"/>
    <w:rsid w:val="009A1984"/>
    <w:rsid w:val="009B447F"/>
    <w:rsid w:val="009B77A4"/>
    <w:rsid w:val="009C02AC"/>
    <w:rsid w:val="009C358A"/>
    <w:rsid w:val="009D43B1"/>
    <w:rsid w:val="009D47D0"/>
    <w:rsid w:val="009E4337"/>
    <w:rsid w:val="00A007E1"/>
    <w:rsid w:val="00A022F2"/>
    <w:rsid w:val="00A119A1"/>
    <w:rsid w:val="00A23874"/>
    <w:rsid w:val="00A24B26"/>
    <w:rsid w:val="00A2739A"/>
    <w:rsid w:val="00A30402"/>
    <w:rsid w:val="00A35D9D"/>
    <w:rsid w:val="00A364AA"/>
    <w:rsid w:val="00A4157F"/>
    <w:rsid w:val="00A477BA"/>
    <w:rsid w:val="00A5461A"/>
    <w:rsid w:val="00A55C09"/>
    <w:rsid w:val="00A6033E"/>
    <w:rsid w:val="00A62D12"/>
    <w:rsid w:val="00A710C9"/>
    <w:rsid w:val="00A720C1"/>
    <w:rsid w:val="00A7775D"/>
    <w:rsid w:val="00A81183"/>
    <w:rsid w:val="00A83F16"/>
    <w:rsid w:val="00A84998"/>
    <w:rsid w:val="00A960CF"/>
    <w:rsid w:val="00A966A8"/>
    <w:rsid w:val="00AA2B6F"/>
    <w:rsid w:val="00AB2DFA"/>
    <w:rsid w:val="00AB4836"/>
    <w:rsid w:val="00AC0F62"/>
    <w:rsid w:val="00AD025A"/>
    <w:rsid w:val="00AD2522"/>
    <w:rsid w:val="00AE538D"/>
    <w:rsid w:val="00AE7509"/>
    <w:rsid w:val="00AE7C5A"/>
    <w:rsid w:val="00AF519E"/>
    <w:rsid w:val="00AF7641"/>
    <w:rsid w:val="00B00AE3"/>
    <w:rsid w:val="00B03E43"/>
    <w:rsid w:val="00B05112"/>
    <w:rsid w:val="00B10037"/>
    <w:rsid w:val="00B23FDE"/>
    <w:rsid w:val="00B328F5"/>
    <w:rsid w:val="00B34ED6"/>
    <w:rsid w:val="00B35A51"/>
    <w:rsid w:val="00B4647F"/>
    <w:rsid w:val="00B7110C"/>
    <w:rsid w:val="00B71C79"/>
    <w:rsid w:val="00B77A97"/>
    <w:rsid w:val="00B81A9A"/>
    <w:rsid w:val="00B834AC"/>
    <w:rsid w:val="00B87521"/>
    <w:rsid w:val="00B95D35"/>
    <w:rsid w:val="00B97421"/>
    <w:rsid w:val="00BA7CF7"/>
    <w:rsid w:val="00BB359C"/>
    <w:rsid w:val="00BB36C8"/>
    <w:rsid w:val="00BB5CB6"/>
    <w:rsid w:val="00BC1EFB"/>
    <w:rsid w:val="00BC4A92"/>
    <w:rsid w:val="00BD0D19"/>
    <w:rsid w:val="00BD3ABB"/>
    <w:rsid w:val="00BD6C9C"/>
    <w:rsid w:val="00BD7D7B"/>
    <w:rsid w:val="00BE1565"/>
    <w:rsid w:val="00BE2A74"/>
    <w:rsid w:val="00BF19B5"/>
    <w:rsid w:val="00BF5C9A"/>
    <w:rsid w:val="00BF7A15"/>
    <w:rsid w:val="00C1704D"/>
    <w:rsid w:val="00C201B8"/>
    <w:rsid w:val="00C23AB6"/>
    <w:rsid w:val="00C332E5"/>
    <w:rsid w:val="00C33DB4"/>
    <w:rsid w:val="00C64319"/>
    <w:rsid w:val="00C6445A"/>
    <w:rsid w:val="00C73493"/>
    <w:rsid w:val="00C750D6"/>
    <w:rsid w:val="00C85F70"/>
    <w:rsid w:val="00C95CC6"/>
    <w:rsid w:val="00CA1E4B"/>
    <w:rsid w:val="00CA232A"/>
    <w:rsid w:val="00CB484C"/>
    <w:rsid w:val="00CB5471"/>
    <w:rsid w:val="00CC4F38"/>
    <w:rsid w:val="00CD6CD7"/>
    <w:rsid w:val="00CE35BE"/>
    <w:rsid w:val="00CE35D7"/>
    <w:rsid w:val="00CE4359"/>
    <w:rsid w:val="00CE766A"/>
    <w:rsid w:val="00CF6376"/>
    <w:rsid w:val="00D032FE"/>
    <w:rsid w:val="00D0482C"/>
    <w:rsid w:val="00D10C62"/>
    <w:rsid w:val="00D118C5"/>
    <w:rsid w:val="00D147AE"/>
    <w:rsid w:val="00D22E5D"/>
    <w:rsid w:val="00D24DAC"/>
    <w:rsid w:val="00D257CD"/>
    <w:rsid w:val="00D33180"/>
    <w:rsid w:val="00D34610"/>
    <w:rsid w:val="00D34745"/>
    <w:rsid w:val="00D36E3A"/>
    <w:rsid w:val="00D37264"/>
    <w:rsid w:val="00D42FF9"/>
    <w:rsid w:val="00D42FFA"/>
    <w:rsid w:val="00D44A55"/>
    <w:rsid w:val="00D611FF"/>
    <w:rsid w:val="00D61AE4"/>
    <w:rsid w:val="00D621FC"/>
    <w:rsid w:val="00D64FB4"/>
    <w:rsid w:val="00D67410"/>
    <w:rsid w:val="00D75A6A"/>
    <w:rsid w:val="00D8182B"/>
    <w:rsid w:val="00D851A3"/>
    <w:rsid w:val="00D86AB6"/>
    <w:rsid w:val="00D9081E"/>
    <w:rsid w:val="00D90F9B"/>
    <w:rsid w:val="00D92331"/>
    <w:rsid w:val="00D971DA"/>
    <w:rsid w:val="00DA59E6"/>
    <w:rsid w:val="00DB1CE2"/>
    <w:rsid w:val="00DC7B11"/>
    <w:rsid w:val="00DD0791"/>
    <w:rsid w:val="00DE23F6"/>
    <w:rsid w:val="00DE262D"/>
    <w:rsid w:val="00DE4C04"/>
    <w:rsid w:val="00DE52F7"/>
    <w:rsid w:val="00DF3AB4"/>
    <w:rsid w:val="00E0035C"/>
    <w:rsid w:val="00E114A6"/>
    <w:rsid w:val="00E15943"/>
    <w:rsid w:val="00E162CD"/>
    <w:rsid w:val="00E16DAA"/>
    <w:rsid w:val="00E172CA"/>
    <w:rsid w:val="00E2085F"/>
    <w:rsid w:val="00E208CA"/>
    <w:rsid w:val="00E27AB4"/>
    <w:rsid w:val="00E27CBA"/>
    <w:rsid w:val="00E30DAD"/>
    <w:rsid w:val="00E32FFC"/>
    <w:rsid w:val="00E402E0"/>
    <w:rsid w:val="00E52DBB"/>
    <w:rsid w:val="00E56CA4"/>
    <w:rsid w:val="00E574F3"/>
    <w:rsid w:val="00E600D2"/>
    <w:rsid w:val="00E73340"/>
    <w:rsid w:val="00E73F49"/>
    <w:rsid w:val="00E82C14"/>
    <w:rsid w:val="00E83EF9"/>
    <w:rsid w:val="00E94432"/>
    <w:rsid w:val="00E94A27"/>
    <w:rsid w:val="00EA1A72"/>
    <w:rsid w:val="00EA1E79"/>
    <w:rsid w:val="00EA36B3"/>
    <w:rsid w:val="00EB1223"/>
    <w:rsid w:val="00EB37D5"/>
    <w:rsid w:val="00EB3D76"/>
    <w:rsid w:val="00EB3E78"/>
    <w:rsid w:val="00EC0AF8"/>
    <w:rsid w:val="00EC0CA3"/>
    <w:rsid w:val="00EC6755"/>
    <w:rsid w:val="00ED05E5"/>
    <w:rsid w:val="00ED35ED"/>
    <w:rsid w:val="00EE1BB2"/>
    <w:rsid w:val="00EE249B"/>
    <w:rsid w:val="00EF0EED"/>
    <w:rsid w:val="00EF30D0"/>
    <w:rsid w:val="00EF3598"/>
    <w:rsid w:val="00EF7EF4"/>
    <w:rsid w:val="00F023E8"/>
    <w:rsid w:val="00F0298F"/>
    <w:rsid w:val="00F102CB"/>
    <w:rsid w:val="00F10B8C"/>
    <w:rsid w:val="00F12BC3"/>
    <w:rsid w:val="00F14F6B"/>
    <w:rsid w:val="00F20A51"/>
    <w:rsid w:val="00F215F9"/>
    <w:rsid w:val="00F33894"/>
    <w:rsid w:val="00F362D5"/>
    <w:rsid w:val="00F43DB7"/>
    <w:rsid w:val="00F44B19"/>
    <w:rsid w:val="00F51DB5"/>
    <w:rsid w:val="00F60ECC"/>
    <w:rsid w:val="00F6571D"/>
    <w:rsid w:val="00F6617C"/>
    <w:rsid w:val="00F73374"/>
    <w:rsid w:val="00F73590"/>
    <w:rsid w:val="00F73931"/>
    <w:rsid w:val="00F81373"/>
    <w:rsid w:val="00F82F72"/>
    <w:rsid w:val="00F903E9"/>
    <w:rsid w:val="00FA0A31"/>
    <w:rsid w:val="00FA0F0B"/>
    <w:rsid w:val="00FB3FC0"/>
    <w:rsid w:val="00FC3261"/>
    <w:rsid w:val="00FC43F5"/>
    <w:rsid w:val="00FC5E20"/>
    <w:rsid w:val="00FC6075"/>
    <w:rsid w:val="00FD0BF7"/>
    <w:rsid w:val="00FD1F2D"/>
    <w:rsid w:val="00FE2F11"/>
    <w:rsid w:val="00FE45AA"/>
    <w:rsid w:val="00FE4C24"/>
    <w:rsid w:val="00FE6994"/>
    <w:rsid w:val="00FE7B12"/>
    <w:rsid w:val="00FF093B"/>
    <w:rsid w:val="00FF0D92"/>
    <w:rsid w:val="00FF2193"/>
    <w:rsid w:val="0153078A"/>
    <w:rsid w:val="01CF4A0F"/>
    <w:rsid w:val="01D4C4BB"/>
    <w:rsid w:val="0B18A363"/>
    <w:rsid w:val="0CE89300"/>
    <w:rsid w:val="1694295A"/>
    <w:rsid w:val="16A7CA0F"/>
    <w:rsid w:val="1D98BC38"/>
    <w:rsid w:val="1FDC15CA"/>
    <w:rsid w:val="212A8A12"/>
    <w:rsid w:val="22A1B700"/>
    <w:rsid w:val="285EBD15"/>
    <w:rsid w:val="2BCEC6FA"/>
    <w:rsid w:val="2FB0BB29"/>
    <w:rsid w:val="31CA6156"/>
    <w:rsid w:val="31DD6B02"/>
    <w:rsid w:val="322E2D00"/>
    <w:rsid w:val="348C5F66"/>
    <w:rsid w:val="349CDB5D"/>
    <w:rsid w:val="34C151BF"/>
    <w:rsid w:val="357F281E"/>
    <w:rsid w:val="380E9893"/>
    <w:rsid w:val="3B05B83D"/>
    <w:rsid w:val="3CD4F287"/>
    <w:rsid w:val="3D3765A1"/>
    <w:rsid w:val="4BD10F4A"/>
    <w:rsid w:val="4C302E80"/>
    <w:rsid w:val="4DDB951C"/>
    <w:rsid w:val="4ED3DDAB"/>
    <w:rsid w:val="4F367086"/>
    <w:rsid w:val="5357ACBE"/>
    <w:rsid w:val="53D72959"/>
    <w:rsid w:val="55313557"/>
    <w:rsid w:val="5A353FFA"/>
    <w:rsid w:val="5D4B361A"/>
    <w:rsid w:val="5E09696A"/>
    <w:rsid w:val="5F075E30"/>
    <w:rsid w:val="60903EA1"/>
    <w:rsid w:val="662C71C4"/>
    <w:rsid w:val="6668DCC5"/>
    <w:rsid w:val="67ACB648"/>
    <w:rsid w:val="69246011"/>
    <w:rsid w:val="6A8A5168"/>
    <w:rsid w:val="71281935"/>
    <w:rsid w:val="72EC6373"/>
    <w:rsid w:val="7706CFD1"/>
    <w:rsid w:val="78629B9E"/>
    <w:rsid w:val="797EBBDF"/>
    <w:rsid w:val="7C2E238F"/>
    <w:rsid w:val="7D531481"/>
    <w:rsid w:val="7FCFD6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A0C5D"/>
  <w15:docId w15:val="{925C0BAF-4A64-4BF3-BA89-31F71014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2B"/>
    <w:pPr>
      <w:ind w:left="720"/>
      <w:contextualSpacing/>
    </w:pPr>
  </w:style>
  <w:style w:type="table" w:styleId="TableGrid">
    <w:name w:val="Table Grid"/>
    <w:basedOn w:val="TableNormal"/>
    <w:uiPriority w:val="39"/>
    <w:rsid w:val="00BB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A0"/>
    <w:rPr>
      <w:rFonts w:ascii="Segoe UI" w:hAnsi="Segoe UI" w:cs="Segoe UI"/>
      <w:sz w:val="18"/>
      <w:szCs w:val="18"/>
    </w:rPr>
  </w:style>
  <w:style w:type="character" w:styleId="CommentReference">
    <w:name w:val="annotation reference"/>
    <w:basedOn w:val="DefaultParagraphFont"/>
    <w:uiPriority w:val="99"/>
    <w:semiHidden/>
    <w:unhideWhenUsed/>
    <w:rsid w:val="002E0161"/>
    <w:rPr>
      <w:sz w:val="16"/>
      <w:szCs w:val="16"/>
    </w:rPr>
  </w:style>
  <w:style w:type="paragraph" w:styleId="CommentText">
    <w:name w:val="annotation text"/>
    <w:basedOn w:val="Normal"/>
    <w:link w:val="CommentTextChar"/>
    <w:uiPriority w:val="99"/>
    <w:unhideWhenUsed/>
    <w:rsid w:val="002E0161"/>
    <w:pPr>
      <w:spacing w:line="240" w:lineRule="auto"/>
    </w:pPr>
    <w:rPr>
      <w:sz w:val="20"/>
      <w:szCs w:val="20"/>
    </w:rPr>
  </w:style>
  <w:style w:type="character" w:customStyle="1" w:styleId="CommentTextChar">
    <w:name w:val="Comment Text Char"/>
    <w:basedOn w:val="DefaultParagraphFont"/>
    <w:link w:val="CommentText"/>
    <w:uiPriority w:val="99"/>
    <w:rsid w:val="002E0161"/>
    <w:rPr>
      <w:sz w:val="20"/>
      <w:szCs w:val="20"/>
    </w:rPr>
  </w:style>
  <w:style w:type="paragraph" w:styleId="CommentSubject">
    <w:name w:val="annotation subject"/>
    <w:basedOn w:val="CommentText"/>
    <w:next w:val="CommentText"/>
    <w:link w:val="CommentSubjectChar"/>
    <w:uiPriority w:val="99"/>
    <w:semiHidden/>
    <w:unhideWhenUsed/>
    <w:rsid w:val="002E0161"/>
    <w:rPr>
      <w:b/>
      <w:bCs/>
    </w:rPr>
  </w:style>
  <w:style w:type="character" w:customStyle="1" w:styleId="CommentSubjectChar">
    <w:name w:val="Comment Subject Char"/>
    <w:basedOn w:val="CommentTextChar"/>
    <w:link w:val="CommentSubject"/>
    <w:uiPriority w:val="99"/>
    <w:semiHidden/>
    <w:rsid w:val="002E0161"/>
    <w:rPr>
      <w:b/>
      <w:bCs/>
      <w:sz w:val="20"/>
      <w:szCs w:val="20"/>
    </w:rPr>
  </w:style>
  <w:style w:type="paragraph" w:styleId="Revision">
    <w:name w:val="Revision"/>
    <w:hidden/>
    <w:uiPriority w:val="99"/>
    <w:semiHidden/>
    <w:rsid w:val="00CE35D7"/>
    <w:pPr>
      <w:spacing w:after="0" w:line="240" w:lineRule="auto"/>
    </w:pPr>
  </w:style>
  <w:style w:type="character" w:styleId="Hyperlink">
    <w:name w:val="Hyperlink"/>
    <w:basedOn w:val="DefaultParagraphFont"/>
    <w:uiPriority w:val="99"/>
    <w:semiHidden/>
    <w:unhideWhenUsed/>
    <w:rsid w:val="00990DBD"/>
    <w:rPr>
      <w:color w:val="0000FF"/>
      <w:u w:val="single"/>
    </w:rPr>
  </w:style>
  <w:style w:type="character" w:styleId="FollowedHyperlink">
    <w:name w:val="FollowedHyperlink"/>
    <w:basedOn w:val="DefaultParagraphFont"/>
    <w:uiPriority w:val="99"/>
    <w:semiHidden/>
    <w:unhideWhenUsed/>
    <w:rsid w:val="00973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917629">
      <w:bodyDiv w:val="1"/>
      <w:marLeft w:val="0"/>
      <w:marRight w:val="0"/>
      <w:marTop w:val="0"/>
      <w:marBottom w:val="0"/>
      <w:divBdr>
        <w:top w:val="none" w:sz="0" w:space="0" w:color="auto"/>
        <w:left w:val="none" w:sz="0" w:space="0" w:color="auto"/>
        <w:bottom w:val="none" w:sz="0" w:space="0" w:color="auto"/>
        <w:right w:val="none" w:sz="0" w:space="0" w:color="auto"/>
      </w:divBdr>
    </w:div>
    <w:div w:id="1199708046">
      <w:bodyDiv w:val="1"/>
      <w:marLeft w:val="0"/>
      <w:marRight w:val="0"/>
      <w:marTop w:val="0"/>
      <w:marBottom w:val="0"/>
      <w:divBdr>
        <w:top w:val="none" w:sz="0" w:space="0" w:color="auto"/>
        <w:left w:val="none" w:sz="0" w:space="0" w:color="auto"/>
        <w:bottom w:val="none" w:sz="0" w:space="0" w:color="auto"/>
        <w:right w:val="none" w:sz="0" w:space="0" w:color="auto"/>
      </w:divBdr>
    </w:div>
    <w:div w:id="1225947035">
      <w:bodyDiv w:val="1"/>
      <w:marLeft w:val="0"/>
      <w:marRight w:val="0"/>
      <w:marTop w:val="0"/>
      <w:marBottom w:val="0"/>
      <w:divBdr>
        <w:top w:val="none" w:sz="0" w:space="0" w:color="auto"/>
        <w:left w:val="none" w:sz="0" w:space="0" w:color="auto"/>
        <w:bottom w:val="none" w:sz="0" w:space="0" w:color="auto"/>
        <w:right w:val="none" w:sz="0" w:space="0" w:color="auto"/>
      </w:divBdr>
    </w:div>
    <w:div w:id="1237470542">
      <w:bodyDiv w:val="1"/>
      <w:marLeft w:val="0"/>
      <w:marRight w:val="0"/>
      <w:marTop w:val="0"/>
      <w:marBottom w:val="0"/>
      <w:divBdr>
        <w:top w:val="none" w:sz="0" w:space="0" w:color="auto"/>
        <w:left w:val="none" w:sz="0" w:space="0" w:color="auto"/>
        <w:bottom w:val="none" w:sz="0" w:space="0" w:color="auto"/>
        <w:right w:val="none" w:sz="0" w:space="0" w:color="auto"/>
      </w:divBdr>
    </w:div>
    <w:div w:id="1715077438">
      <w:bodyDiv w:val="1"/>
      <w:marLeft w:val="0"/>
      <w:marRight w:val="0"/>
      <w:marTop w:val="0"/>
      <w:marBottom w:val="0"/>
      <w:divBdr>
        <w:top w:val="none" w:sz="0" w:space="0" w:color="auto"/>
        <w:left w:val="none" w:sz="0" w:space="0" w:color="auto"/>
        <w:bottom w:val="none" w:sz="0" w:space="0" w:color="auto"/>
        <w:right w:val="none" w:sz="0" w:space="0" w:color="auto"/>
      </w:divBdr>
    </w:div>
    <w:div w:id="2039088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kevib.sharepoint.com/sites/HRPayrollProcessing/Shared%20Documents/General/Information%20and%20Data/GPG/GPG%20AT%20310323%20Contractual%20and%20Temporary%20Hours%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kevib.sharepoint.com/sites/HRPayrollProcessing/Shared%20Documents/General/Information%20and%20Data/GPG/GPG%20AT%20310323%20Contractual%20and%20Temporary%20Hours%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kevib.sharepoint.com/sites/HRPayrollProcessing/Shared%20Documents/General/Information%20and%20Data/GPG/GPG%20AT%20310323%20Contractual%20and%20Temporary%20Hours%20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evib.sharepoint.com/sites/HRPayrollProcessing/Shared%20Documents/General/Information%20and%20Data/GPG/GPG%20AT%20310323%20Contractual%20and%20Temporary%20Hours%20FINA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 Academy</a:t>
            </a:r>
            <a:r>
              <a:rPr lang="en-GB" baseline="0"/>
              <a:t> Trust Ave Hrly Rates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'[GPG AT 310323 Contractual and Temporary Hours FINAL.xlsx]Q1 Ave'!$B$2</c:f>
              <c:strCache>
                <c:ptCount val="1"/>
                <c:pt idx="0">
                  <c:v>Female</c:v>
                </c:pt>
              </c:strCache>
            </c:strRef>
          </c:tx>
          <c:spPr>
            <a:solidFill>
              <a:srgbClr val="FF9900"/>
            </a:solidFill>
            <a:ln>
              <a:noFill/>
            </a:ln>
            <a:effectLst/>
          </c:spPr>
          <c:invertIfNegative val="0"/>
          <c:cat>
            <c:strRef>
              <c:f>'[GPG AT 310323 Contractual and Temporary Hours FINAL.xlsx]Q1 Ave'!$A$3:$A$14</c:f>
              <c:strCache>
                <c:ptCount val="12"/>
                <c:pt idx="0">
                  <c:v>AST</c:v>
                </c:pt>
                <c:pt idx="1">
                  <c:v>BWA</c:v>
                </c:pt>
                <c:pt idx="2">
                  <c:v>CHB</c:v>
                </c:pt>
                <c:pt idx="3">
                  <c:v>CHG</c:v>
                </c:pt>
                <c:pt idx="4">
                  <c:v>FWS</c:v>
                </c:pt>
                <c:pt idx="5">
                  <c:v>HGS</c:v>
                </c:pt>
                <c:pt idx="6">
                  <c:v>HAN</c:v>
                </c:pt>
                <c:pt idx="7">
                  <c:v>HWGA</c:v>
                </c:pt>
                <c:pt idx="8">
                  <c:v>LSG</c:v>
                </c:pt>
                <c:pt idx="9">
                  <c:v>NSG</c:v>
                </c:pt>
                <c:pt idx="10">
                  <c:v>KESH</c:v>
                </c:pt>
                <c:pt idx="11">
                  <c:v>Grand Total (Ave)</c:v>
                </c:pt>
              </c:strCache>
            </c:strRef>
          </c:cat>
          <c:val>
            <c:numRef>
              <c:f>'[GPG AT 310323 Contractual and Temporary Hours FINAL.xlsx]Q1 Ave'!$B$3:$B$14</c:f>
              <c:numCache>
                <c:formatCode>"£"#,##0.00</c:formatCode>
                <c:ptCount val="12"/>
                <c:pt idx="0">
                  <c:v>30.163385010747067</c:v>
                </c:pt>
                <c:pt idx="1">
                  <c:v>32.712427131390371</c:v>
                </c:pt>
                <c:pt idx="2">
                  <c:v>29.187053017557592</c:v>
                </c:pt>
                <c:pt idx="3">
                  <c:v>30.541392954812899</c:v>
                </c:pt>
                <c:pt idx="4">
                  <c:v>28.604991433166393</c:v>
                </c:pt>
                <c:pt idx="5">
                  <c:v>29.428886144955413</c:v>
                </c:pt>
                <c:pt idx="6">
                  <c:v>31.823020582585627</c:v>
                </c:pt>
                <c:pt idx="7">
                  <c:v>31.77368455843455</c:v>
                </c:pt>
                <c:pt idx="8">
                  <c:v>32.153804079391229</c:v>
                </c:pt>
                <c:pt idx="9">
                  <c:v>32.03385116909962</c:v>
                </c:pt>
                <c:pt idx="10">
                  <c:v>31.192783665713879</c:v>
                </c:pt>
                <c:pt idx="11">
                  <c:v>30.938236771032752</c:v>
                </c:pt>
              </c:numCache>
            </c:numRef>
          </c:val>
          <c:extLst>
            <c:ext xmlns:c16="http://schemas.microsoft.com/office/drawing/2014/chart" uri="{C3380CC4-5D6E-409C-BE32-E72D297353CC}">
              <c16:uniqueId val="{00000000-C709-4DA2-A4DD-C8B4BE9F8DEC}"/>
            </c:ext>
          </c:extLst>
        </c:ser>
        <c:ser>
          <c:idx val="1"/>
          <c:order val="1"/>
          <c:tx>
            <c:strRef>
              <c:f>'[GPG AT 310323 Contractual and Temporary Hours FINAL.xlsx]Q1 Ave'!$C$2</c:f>
              <c:strCache>
                <c:ptCount val="1"/>
                <c:pt idx="0">
                  <c:v>Male</c:v>
                </c:pt>
              </c:strCache>
            </c:strRef>
          </c:tx>
          <c:spPr>
            <a:solidFill>
              <a:schemeClr val="tx2">
                <a:lumMod val="75000"/>
                <a:lumOff val="25000"/>
              </a:schemeClr>
            </a:solidFill>
            <a:ln>
              <a:noFill/>
            </a:ln>
            <a:effectLst/>
          </c:spPr>
          <c:invertIfNegative val="0"/>
          <c:cat>
            <c:strRef>
              <c:f>'[GPG AT 310323 Contractual and Temporary Hours FINAL.xlsx]Q1 Ave'!$A$3:$A$14</c:f>
              <c:strCache>
                <c:ptCount val="12"/>
                <c:pt idx="0">
                  <c:v>AST</c:v>
                </c:pt>
                <c:pt idx="1">
                  <c:v>BWA</c:v>
                </c:pt>
                <c:pt idx="2">
                  <c:v>CHB</c:v>
                </c:pt>
                <c:pt idx="3">
                  <c:v>CHG</c:v>
                </c:pt>
                <c:pt idx="4">
                  <c:v>FWS</c:v>
                </c:pt>
                <c:pt idx="5">
                  <c:v>HGS</c:v>
                </c:pt>
                <c:pt idx="6">
                  <c:v>HAN</c:v>
                </c:pt>
                <c:pt idx="7">
                  <c:v>HWGA</c:v>
                </c:pt>
                <c:pt idx="8">
                  <c:v>LSG</c:v>
                </c:pt>
                <c:pt idx="9">
                  <c:v>NSG</c:v>
                </c:pt>
                <c:pt idx="10">
                  <c:v>KESH</c:v>
                </c:pt>
                <c:pt idx="11">
                  <c:v>Grand Total (Ave)</c:v>
                </c:pt>
              </c:strCache>
            </c:strRef>
          </c:cat>
          <c:val>
            <c:numRef>
              <c:f>'[GPG AT 310323 Contractual and Temporary Hours FINAL.xlsx]Q1 Ave'!$C$3:$C$14</c:f>
              <c:numCache>
                <c:formatCode>"£"#,##0.00</c:formatCode>
                <c:ptCount val="12"/>
                <c:pt idx="0">
                  <c:v>30.543156221770797</c:v>
                </c:pt>
                <c:pt idx="1">
                  <c:v>33.946817848549621</c:v>
                </c:pt>
                <c:pt idx="2">
                  <c:v>32.374179234774132</c:v>
                </c:pt>
                <c:pt idx="3">
                  <c:v>28.398208392685117</c:v>
                </c:pt>
                <c:pt idx="4">
                  <c:v>29.847212758263069</c:v>
                </c:pt>
                <c:pt idx="5">
                  <c:v>31.368988674809422</c:v>
                </c:pt>
                <c:pt idx="6">
                  <c:v>29.949310992404019</c:v>
                </c:pt>
                <c:pt idx="7">
                  <c:v>39.788215543350461</c:v>
                </c:pt>
                <c:pt idx="8">
                  <c:v>28.079275090149029</c:v>
                </c:pt>
                <c:pt idx="9">
                  <c:v>33.986519437150861</c:v>
                </c:pt>
                <c:pt idx="10">
                  <c:v>31.48928596369441</c:v>
                </c:pt>
                <c:pt idx="11">
                  <c:v>31.281505100512213</c:v>
                </c:pt>
              </c:numCache>
            </c:numRef>
          </c:val>
          <c:extLst>
            <c:ext xmlns:c16="http://schemas.microsoft.com/office/drawing/2014/chart" uri="{C3380CC4-5D6E-409C-BE32-E72D297353CC}">
              <c16:uniqueId val="{00000001-C709-4DA2-A4DD-C8B4BE9F8DEC}"/>
            </c:ext>
          </c:extLst>
        </c:ser>
        <c:dLbls>
          <c:showLegendKey val="0"/>
          <c:showVal val="0"/>
          <c:showCatName val="0"/>
          <c:showSerName val="0"/>
          <c:showPercent val="0"/>
          <c:showBubbleSize val="0"/>
        </c:dLbls>
        <c:gapWidth val="219"/>
        <c:overlap val="-27"/>
        <c:axId val="1542255184"/>
        <c:axId val="1542256144"/>
      </c:barChart>
      <c:catAx>
        <c:axId val="154225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256144"/>
        <c:crosses val="autoZero"/>
        <c:auto val="1"/>
        <c:lblAlgn val="ctr"/>
        <c:lblOffset val="100"/>
        <c:noMultiLvlLbl val="0"/>
      </c:catAx>
      <c:valAx>
        <c:axId val="154225614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25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rPr>
              <a:t>Q2 Academy Trust Ave Hrly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'[GPG AT 310323 Contractual and Temporary Hours FINAL.xlsx]Q2 Ave'!$B$2</c:f>
              <c:strCache>
                <c:ptCount val="1"/>
                <c:pt idx="0">
                  <c:v>Female</c:v>
                </c:pt>
              </c:strCache>
            </c:strRef>
          </c:tx>
          <c:spPr>
            <a:solidFill>
              <a:srgbClr val="FF9900"/>
            </a:solidFill>
            <a:ln>
              <a:noFill/>
            </a:ln>
            <a:effectLst/>
          </c:spPr>
          <c:invertIfNegative val="0"/>
          <c:cat>
            <c:strRef>
              <c:f>'[GPG AT 310323 Contractual and Temporary Hours FINAL.xlsx]Q2 Ave'!$A$3:$A$13</c:f>
              <c:strCache>
                <c:ptCount val="11"/>
                <c:pt idx="0">
                  <c:v>AST</c:v>
                </c:pt>
                <c:pt idx="1">
                  <c:v>BWA</c:v>
                </c:pt>
                <c:pt idx="2">
                  <c:v>CHB</c:v>
                </c:pt>
                <c:pt idx="3">
                  <c:v>CHG</c:v>
                </c:pt>
                <c:pt idx="4">
                  <c:v>FWS</c:v>
                </c:pt>
                <c:pt idx="5">
                  <c:v>HGS</c:v>
                </c:pt>
                <c:pt idx="6">
                  <c:v>HAN</c:v>
                </c:pt>
                <c:pt idx="7">
                  <c:v>HWGA</c:v>
                </c:pt>
                <c:pt idx="8">
                  <c:v>LSG</c:v>
                </c:pt>
                <c:pt idx="9">
                  <c:v>NSG</c:v>
                </c:pt>
                <c:pt idx="10">
                  <c:v>KESH</c:v>
                </c:pt>
              </c:strCache>
            </c:strRef>
          </c:cat>
          <c:val>
            <c:numRef>
              <c:f>'[GPG AT 310323 Contractual and Temporary Hours FINAL.xlsx]Q2 Ave'!$B$3:$B$13</c:f>
              <c:numCache>
                <c:formatCode>"£"#,##0.00</c:formatCode>
                <c:ptCount val="11"/>
                <c:pt idx="0">
                  <c:v>22.898662370996846</c:v>
                </c:pt>
                <c:pt idx="1">
                  <c:v>24.015481449277843</c:v>
                </c:pt>
                <c:pt idx="2">
                  <c:v>24.24470007201899</c:v>
                </c:pt>
                <c:pt idx="3">
                  <c:v>24.389003484553271</c:v>
                </c:pt>
                <c:pt idx="4">
                  <c:v>24.370506608783135</c:v>
                </c:pt>
                <c:pt idx="5">
                  <c:v>24.711949682751133</c:v>
                </c:pt>
                <c:pt idx="6">
                  <c:v>25.252430601111318</c:v>
                </c:pt>
                <c:pt idx="7">
                  <c:v>24.175066488046262</c:v>
                </c:pt>
                <c:pt idx="8">
                  <c:v>24.209829286211701</c:v>
                </c:pt>
                <c:pt idx="9">
                  <c:v>24.486029826715715</c:v>
                </c:pt>
                <c:pt idx="10">
                  <c:v>24.129659260765671</c:v>
                </c:pt>
              </c:numCache>
            </c:numRef>
          </c:val>
          <c:extLst>
            <c:ext xmlns:c16="http://schemas.microsoft.com/office/drawing/2014/chart" uri="{C3380CC4-5D6E-409C-BE32-E72D297353CC}">
              <c16:uniqueId val="{00000000-7361-4C39-93ED-EFC87C42491A}"/>
            </c:ext>
          </c:extLst>
        </c:ser>
        <c:ser>
          <c:idx val="1"/>
          <c:order val="1"/>
          <c:tx>
            <c:strRef>
              <c:f>'[GPG AT 310323 Contractual and Temporary Hours FINAL.xlsx]Q2 Ave'!$C$2</c:f>
              <c:strCache>
                <c:ptCount val="1"/>
                <c:pt idx="0">
                  <c:v>Male</c:v>
                </c:pt>
              </c:strCache>
            </c:strRef>
          </c:tx>
          <c:spPr>
            <a:solidFill>
              <a:schemeClr val="tx2">
                <a:lumMod val="75000"/>
                <a:lumOff val="25000"/>
              </a:schemeClr>
            </a:solidFill>
            <a:ln>
              <a:noFill/>
            </a:ln>
            <a:effectLst/>
          </c:spPr>
          <c:invertIfNegative val="0"/>
          <c:cat>
            <c:strRef>
              <c:f>'[GPG AT 310323 Contractual and Temporary Hours FINAL.xlsx]Q2 Ave'!$A$3:$A$13</c:f>
              <c:strCache>
                <c:ptCount val="11"/>
                <c:pt idx="0">
                  <c:v>AST</c:v>
                </c:pt>
                <c:pt idx="1">
                  <c:v>BWA</c:v>
                </c:pt>
                <c:pt idx="2">
                  <c:v>CHB</c:v>
                </c:pt>
                <c:pt idx="3">
                  <c:v>CHG</c:v>
                </c:pt>
                <c:pt idx="4">
                  <c:v>FWS</c:v>
                </c:pt>
                <c:pt idx="5">
                  <c:v>HGS</c:v>
                </c:pt>
                <c:pt idx="6">
                  <c:v>HAN</c:v>
                </c:pt>
                <c:pt idx="7">
                  <c:v>HWGA</c:v>
                </c:pt>
                <c:pt idx="8">
                  <c:v>LSG</c:v>
                </c:pt>
                <c:pt idx="9">
                  <c:v>NSG</c:v>
                </c:pt>
                <c:pt idx="10">
                  <c:v>KESH</c:v>
                </c:pt>
              </c:strCache>
            </c:strRef>
          </c:cat>
          <c:val>
            <c:numRef>
              <c:f>'[GPG AT 310323 Contractual and Temporary Hours FINAL.xlsx]Q2 Ave'!$C$3:$C$13</c:f>
              <c:numCache>
                <c:formatCode>"£"#,##0.00</c:formatCode>
                <c:ptCount val="11"/>
                <c:pt idx="0">
                  <c:v>23.706330255755752</c:v>
                </c:pt>
                <c:pt idx="1">
                  <c:v>23.860419349746774</c:v>
                </c:pt>
                <c:pt idx="2">
                  <c:v>24.230976001858547</c:v>
                </c:pt>
                <c:pt idx="3">
                  <c:v>24.924731036554448</c:v>
                </c:pt>
                <c:pt idx="4">
                  <c:v>24.351917335807787</c:v>
                </c:pt>
                <c:pt idx="5">
                  <c:v>24.243838767643929</c:v>
                </c:pt>
                <c:pt idx="6">
                  <c:v>24.900287794819928</c:v>
                </c:pt>
                <c:pt idx="7">
                  <c:v>23.722131946716658</c:v>
                </c:pt>
                <c:pt idx="8">
                  <c:v>24.474875426055782</c:v>
                </c:pt>
                <c:pt idx="9">
                  <c:v>23.159258595292116</c:v>
                </c:pt>
                <c:pt idx="10">
                  <c:v>22.239546346032643</c:v>
                </c:pt>
              </c:numCache>
            </c:numRef>
          </c:val>
          <c:extLst>
            <c:ext xmlns:c16="http://schemas.microsoft.com/office/drawing/2014/chart" uri="{C3380CC4-5D6E-409C-BE32-E72D297353CC}">
              <c16:uniqueId val="{00000001-7361-4C39-93ED-EFC87C42491A}"/>
            </c:ext>
          </c:extLst>
        </c:ser>
        <c:dLbls>
          <c:showLegendKey val="0"/>
          <c:showVal val="0"/>
          <c:showCatName val="0"/>
          <c:showSerName val="0"/>
          <c:showPercent val="0"/>
          <c:showBubbleSize val="0"/>
        </c:dLbls>
        <c:gapWidth val="219"/>
        <c:overlap val="-27"/>
        <c:axId val="1759218239"/>
        <c:axId val="1542259504"/>
      </c:barChart>
      <c:catAx>
        <c:axId val="1759218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259504"/>
        <c:crosses val="autoZero"/>
        <c:auto val="1"/>
        <c:lblAlgn val="ctr"/>
        <c:lblOffset val="100"/>
        <c:noMultiLvlLbl val="0"/>
      </c:catAx>
      <c:valAx>
        <c:axId val="15422595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218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rPr>
              <a:t>Q3 Academy Trust Ave Hrly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'[GPG AT 310323 Contractual and Temporary Hours FINAL.xlsx]Q3 Ave'!$B$2</c:f>
              <c:strCache>
                <c:ptCount val="1"/>
                <c:pt idx="0">
                  <c:v>Female</c:v>
                </c:pt>
              </c:strCache>
            </c:strRef>
          </c:tx>
          <c:spPr>
            <a:solidFill>
              <a:srgbClr val="FF9900"/>
            </a:solidFill>
            <a:ln>
              <a:noFill/>
            </a:ln>
            <a:effectLst/>
          </c:spPr>
          <c:invertIfNegative val="0"/>
          <c:cat>
            <c:strRef>
              <c:f>'[GPG AT 310323 Contractual and Temporary Hours FINAL.xlsx]Q3 Ave'!$A$3:$A$13</c:f>
              <c:strCache>
                <c:ptCount val="11"/>
                <c:pt idx="0">
                  <c:v>AST</c:v>
                </c:pt>
                <c:pt idx="1">
                  <c:v>BWA</c:v>
                </c:pt>
                <c:pt idx="2">
                  <c:v>CHB</c:v>
                </c:pt>
                <c:pt idx="3">
                  <c:v>CHG</c:v>
                </c:pt>
                <c:pt idx="4">
                  <c:v>FWS</c:v>
                </c:pt>
                <c:pt idx="5">
                  <c:v>HGS</c:v>
                </c:pt>
                <c:pt idx="6">
                  <c:v>HAN</c:v>
                </c:pt>
                <c:pt idx="7">
                  <c:v>HWGA</c:v>
                </c:pt>
                <c:pt idx="8">
                  <c:v>LSG</c:v>
                </c:pt>
                <c:pt idx="9">
                  <c:v>NSG</c:v>
                </c:pt>
                <c:pt idx="10">
                  <c:v>KESH</c:v>
                </c:pt>
              </c:strCache>
            </c:strRef>
          </c:cat>
          <c:val>
            <c:numRef>
              <c:f>'[GPG AT 310323 Contractual and Temporary Hours FINAL.xlsx]Q3 Ave'!$B$3:$B$13</c:f>
              <c:numCache>
                <c:formatCode>"£"#,##0.00</c:formatCode>
                <c:ptCount val="11"/>
                <c:pt idx="0">
                  <c:v>15.17390055276174</c:v>
                </c:pt>
                <c:pt idx="1">
                  <c:v>15.772244760513569</c:v>
                </c:pt>
                <c:pt idx="2">
                  <c:v>15.804493894858574</c:v>
                </c:pt>
                <c:pt idx="3">
                  <c:v>14.488892997311888</c:v>
                </c:pt>
                <c:pt idx="4">
                  <c:v>15.727216854817094</c:v>
                </c:pt>
                <c:pt idx="5">
                  <c:v>14.998950913432829</c:v>
                </c:pt>
                <c:pt idx="6">
                  <c:v>16.395547036657273</c:v>
                </c:pt>
                <c:pt idx="7">
                  <c:v>16.080136110042726</c:v>
                </c:pt>
                <c:pt idx="8">
                  <c:v>15.691433447197298</c:v>
                </c:pt>
                <c:pt idx="9">
                  <c:v>15.247049937550917</c:v>
                </c:pt>
                <c:pt idx="10">
                  <c:v>15.906936357860181</c:v>
                </c:pt>
              </c:numCache>
            </c:numRef>
          </c:val>
          <c:extLst>
            <c:ext xmlns:c16="http://schemas.microsoft.com/office/drawing/2014/chart" uri="{C3380CC4-5D6E-409C-BE32-E72D297353CC}">
              <c16:uniqueId val="{00000000-2A9E-4EC9-8F45-646C559A327F}"/>
            </c:ext>
          </c:extLst>
        </c:ser>
        <c:ser>
          <c:idx val="1"/>
          <c:order val="1"/>
          <c:tx>
            <c:strRef>
              <c:f>'[GPG AT 310323 Contractual and Temporary Hours FINAL.xlsx]Q3 Ave'!$C$2</c:f>
              <c:strCache>
                <c:ptCount val="1"/>
                <c:pt idx="0">
                  <c:v>Male</c:v>
                </c:pt>
              </c:strCache>
            </c:strRef>
          </c:tx>
          <c:spPr>
            <a:solidFill>
              <a:schemeClr val="tx2">
                <a:lumMod val="75000"/>
                <a:lumOff val="25000"/>
              </a:schemeClr>
            </a:solidFill>
            <a:ln>
              <a:noFill/>
            </a:ln>
            <a:effectLst/>
          </c:spPr>
          <c:invertIfNegative val="0"/>
          <c:cat>
            <c:strRef>
              <c:f>'[GPG AT 310323 Contractual and Temporary Hours FINAL.xlsx]Q3 Ave'!$A$3:$A$13</c:f>
              <c:strCache>
                <c:ptCount val="11"/>
                <c:pt idx="0">
                  <c:v>AST</c:v>
                </c:pt>
                <c:pt idx="1">
                  <c:v>BWA</c:v>
                </c:pt>
                <c:pt idx="2">
                  <c:v>CHB</c:v>
                </c:pt>
                <c:pt idx="3">
                  <c:v>CHG</c:v>
                </c:pt>
                <c:pt idx="4">
                  <c:v>FWS</c:v>
                </c:pt>
                <c:pt idx="5">
                  <c:v>HGS</c:v>
                </c:pt>
                <c:pt idx="6">
                  <c:v>HAN</c:v>
                </c:pt>
                <c:pt idx="7">
                  <c:v>HWGA</c:v>
                </c:pt>
                <c:pt idx="8">
                  <c:v>LSG</c:v>
                </c:pt>
                <c:pt idx="9">
                  <c:v>NSG</c:v>
                </c:pt>
                <c:pt idx="10">
                  <c:v>KESH</c:v>
                </c:pt>
              </c:strCache>
            </c:strRef>
          </c:cat>
          <c:val>
            <c:numRef>
              <c:f>'[GPG AT 310323 Contractual and Temporary Hours FINAL.xlsx]Q3 Ave'!$C$3:$C$13</c:f>
              <c:numCache>
                <c:formatCode>"£"#,##0.00</c:formatCode>
                <c:ptCount val="11"/>
                <c:pt idx="0">
                  <c:v>17.575395425550049</c:v>
                </c:pt>
                <c:pt idx="1">
                  <c:v>16.637584030099713</c:v>
                </c:pt>
                <c:pt idx="2">
                  <c:v>16.039674219002457</c:v>
                </c:pt>
                <c:pt idx="3">
                  <c:v>13.788139474271805</c:v>
                </c:pt>
                <c:pt idx="4">
                  <c:v>15.544407124477631</c:v>
                </c:pt>
                <c:pt idx="5">
                  <c:v>16.907689289671509</c:v>
                </c:pt>
                <c:pt idx="6">
                  <c:v>14.771043729605786</c:v>
                </c:pt>
                <c:pt idx="7">
                  <c:v>13.848639108626198</c:v>
                </c:pt>
                <c:pt idx="8">
                  <c:v>15.758735833325233</c:v>
                </c:pt>
                <c:pt idx="9">
                  <c:v>17.142351660459529</c:v>
                </c:pt>
                <c:pt idx="10">
                  <c:v>17.275342892156406</c:v>
                </c:pt>
              </c:numCache>
            </c:numRef>
          </c:val>
          <c:extLst>
            <c:ext xmlns:c16="http://schemas.microsoft.com/office/drawing/2014/chart" uri="{C3380CC4-5D6E-409C-BE32-E72D297353CC}">
              <c16:uniqueId val="{00000001-2A9E-4EC9-8F45-646C559A327F}"/>
            </c:ext>
          </c:extLst>
        </c:ser>
        <c:dLbls>
          <c:showLegendKey val="0"/>
          <c:showVal val="0"/>
          <c:showCatName val="0"/>
          <c:showSerName val="0"/>
          <c:showPercent val="0"/>
          <c:showBubbleSize val="0"/>
        </c:dLbls>
        <c:gapWidth val="219"/>
        <c:overlap val="-27"/>
        <c:axId val="1542255664"/>
        <c:axId val="1542256624"/>
      </c:barChart>
      <c:catAx>
        <c:axId val="154225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256624"/>
        <c:crosses val="autoZero"/>
        <c:auto val="1"/>
        <c:lblAlgn val="ctr"/>
        <c:lblOffset val="100"/>
        <c:noMultiLvlLbl val="0"/>
      </c:catAx>
      <c:valAx>
        <c:axId val="15422566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25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rPr>
              <a:t>Q4 Academy Trust Ave Hrly Rates</a:t>
            </a:r>
          </a:p>
        </c:rich>
      </c:tx>
      <c:layout>
        <c:manualLayout>
          <c:xMode val="edge"/>
          <c:yMode val="edge"/>
          <c:x val="0.33087222834217028"/>
          <c:y val="3.66875649977715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'[GPG AT 310323 Contractual and Temporary Hours FINAL.xlsx]Q4 Ave'!$B$2</c:f>
              <c:strCache>
                <c:ptCount val="1"/>
                <c:pt idx="0">
                  <c:v>Female</c:v>
                </c:pt>
              </c:strCache>
            </c:strRef>
          </c:tx>
          <c:spPr>
            <a:solidFill>
              <a:srgbClr val="FF9900"/>
            </a:solidFill>
            <a:ln>
              <a:noFill/>
            </a:ln>
            <a:effectLst/>
          </c:spPr>
          <c:invertIfNegative val="0"/>
          <c:cat>
            <c:strRef>
              <c:f>'[GPG AT 310323 Contractual and Temporary Hours FINAL.xlsx]Q4 Ave'!$A$3:$A$13</c:f>
              <c:strCache>
                <c:ptCount val="11"/>
                <c:pt idx="0">
                  <c:v>AST</c:v>
                </c:pt>
                <c:pt idx="1">
                  <c:v>BWA</c:v>
                </c:pt>
                <c:pt idx="2">
                  <c:v>CHB</c:v>
                </c:pt>
                <c:pt idx="3">
                  <c:v>CHG</c:v>
                </c:pt>
                <c:pt idx="4">
                  <c:v>FWS</c:v>
                </c:pt>
                <c:pt idx="5">
                  <c:v>HGS</c:v>
                </c:pt>
                <c:pt idx="6">
                  <c:v>HAN</c:v>
                </c:pt>
                <c:pt idx="7">
                  <c:v>HWGA</c:v>
                </c:pt>
                <c:pt idx="8">
                  <c:v>LSG</c:v>
                </c:pt>
                <c:pt idx="9">
                  <c:v>NSG</c:v>
                </c:pt>
                <c:pt idx="10">
                  <c:v>KESH</c:v>
                </c:pt>
              </c:strCache>
            </c:strRef>
          </c:cat>
          <c:val>
            <c:numRef>
              <c:f>'[GPG AT 310323 Contractual and Temporary Hours FINAL.xlsx]Q4 Ave'!$B$3:$B$13</c:f>
              <c:numCache>
                <c:formatCode>"£"#,##0.00</c:formatCode>
                <c:ptCount val="11"/>
                <c:pt idx="0">
                  <c:v>10.764542626794974</c:v>
                </c:pt>
                <c:pt idx="1">
                  <c:v>10.959447049241213</c:v>
                </c:pt>
                <c:pt idx="2">
                  <c:v>11.381253165043834</c:v>
                </c:pt>
                <c:pt idx="3">
                  <c:v>10.547520778461026</c:v>
                </c:pt>
                <c:pt idx="4">
                  <c:v>11.002464165497509</c:v>
                </c:pt>
                <c:pt idx="5">
                  <c:v>11.116543009658853</c:v>
                </c:pt>
                <c:pt idx="6">
                  <c:v>10.960607989326951</c:v>
                </c:pt>
                <c:pt idx="7">
                  <c:v>10.339371522832758</c:v>
                </c:pt>
                <c:pt idx="8">
                  <c:v>9.8344600542096465</c:v>
                </c:pt>
                <c:pt idx="9">
                  <c:v>9.7191287153781492</c:v>
                </c:pt>
                <c:pt idx="10">
                  <c:v>11.127581852345863</c:v>
                </c:pt>
              </c:numCache>
            </c:numRef>
          </c:val>
          <c:extLst>
            <c:ext xmlns:c16="http://schemas.microsoft.com/office/drawing/2014/chart" uri="{C3380CC4-5D6E-409C-BE32-E72D297353CC}">
              <c16:uniqueId val="{00000000-5027-49CD-9172-CD62169366EC}"/>
            </c:ext>
          </c:extLst>
        </c:ser>
        <c:ser>
          <c:idx val="1"/>
          <c:order val="1"/>
          <c:tx>
            <c:strRef>
              <c:f>'[GPG AT 310323 Contractual and Temporary Hours FINAL.xlsx]Q4 Ave'!$C$2</c:f>
              <c:strCache>
                <c:ptCount val="1"/>
                <c:pt idx="0">
                  <c:v>Male</c:v>
                </c:pt>
              </c:strCache>
            </c:strRef>
          </c:tx>
          <c:spPr>
            <a:solidFill>
              <a:schemeClr val="tx2">
                <a:lumMod val="75000"/>
                <a:lumOff val="25000"/>
              </a:schemeClr>
            </a:solidFill>
            <a:ln>
              <a:noFill/>
            </a:ln>
            <a:effectLst/>
          </c:spPr>
          <c:invertIfNegative val="0"/>
          <c:cat>
            <c:strRef>
              <c:f>'[GPG AT 310323 Contractual and Temporary Hours FINAL.xlsx]Q4 Ave'!$A$3:$A$13</c:f>
              <c:strCache>
                <c:ptCount val="11"/>
                <c:pt idx="0">
                  <c:v>AST</c:v>
                </c:pt>
                <c:pt idx="1">
                  <c:v>BWA</c:v>
                </c:pt>
                <c:pt idx="2">
                  <c:v>CHB</c:v>
                </c:pt>
                <c:pt idx="3">
                  <c:v>CHG</c:v>
                </c:pt>
                <c:pt idx="4">
                  <c:v>FWS</c:v>
                </c:pt>
                <c:pt idx="5">
                  <c:v>HGS</c:v>
                </c:pt>
                <c:pt idx="6">
                  <c:v>HAN</c:v>
                </c:pt>
                <c:pt idx="7">
                  <c:v>HWGA</c:v>
                </c:pt>
                <c:pt idx="8">
                  <c:v>LSG</c:v>
                </c:pt>
                <c:pt idx="9">
                  <c:v>NSG</c:v>
                </c:pt>
                <c:pt idx="10">
                  <c:v>KESH</c:v>
                </c:pt>
              </c:strCache>
            </c:strRef>
          </c:cat>
          <c:val>
            <c:numRef>
              <c:f>'[GPG AT 310323 Contractual and Temporary Hours FINAL.xlsx]Q4 Ave'!$C$3:$C$13</c:f>
              <c:numCache>
                <c:formatCode>"£"#,##0.00</c:formatCode>
                <c:ptCount val="11"/>
                <c:pt idx="0">
                  <c:v>10.162066769683495</c:v>
                </c:pt>
                <c:pt idx="1">
                  <c:v>11.047727285265836</c:v>
                </c:pt>
                <c:pt idx="2">
                  <c:v>10.97510087512239</c:v>
                </c:pt>
                <c:pt idx="3">
                  <c:v>11.003018832036977</c:v>
                </c:pt>
                <c:pt idx="4">
                  <c:v>10.356233214298191</c:v>
                </c:pt>
                <c:pt idx="5">
                  <c:v>11.317375636388761</c:v>
                </c:pt>
                <c:pt idx="6">
                  <c:v>10.152318216579854</c:v>
                </c:pt>
                <c:pt idx="7">
                  <c:v>11.575938560948959</c:v>
                </c:pt>
                <c:pt idx="8">
                  <c:v>11.542546721489561</c:v>
                </c:pt>
                <c:pt idx="9">
                  <c:v>10.914838426851624</c:v>
                </c:pt>
                <c:pt idx="10">
                  <c:v>11.061235974095473</c:v>
                </c:pt>
              </c:numCache>
            </c:numRef>
          </c:val>
          <c:extLst>
            <c:ext xmlns:c16="http://schemas.microsoft.com/office/drawing/2014/chart" uri="{C3380CC4-5D6E-409C-BE32-E72D297353CC}">
              <c16:uniqueId val="{00000001-5027-49CD-9172-CD62169366EC}"/>
            </c:ext>
          </c:extLst>
        </c:ser>
        <c:dLbls>
          <c:showLegendKey val="0"/>
          <c:showVal val="0"/>
          <c:showCatName val="0"/>
          <c:showSerName val="0"/>
          <c:showPercent val="0"/>
          <c:showBubbleSize val="0"/>
        </c:dLbls>
        <c:gapWidth val="219"/>
        <c:overlap val="-27"/>
        <c:axId val="1759220639"/>
        <c:axId val="1759213439"/>
      </c:barChart>
      <c:catAx>
        <c:axId val="175922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213439"/>
        <c:crosses val="autoZero"/>
        <c:auto val="1"/>
        <c:lblAlgn val="ctr"/>
        <c:lblOffset val="100"/>
        <c:noMultiLvlLbl val="0"/>
      </c:catAx>
      <c:valAx>
        <c:axId val="1759213439"/>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220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53654230-4A45-4FA2-8FBF-06DF81308CED}"/>
      </w:docPartPr>
      <w:docPartBody>
        <w:p w:rsidR="00F4438C" w:rsidRDefault="00F443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38C"/>
    <w:rsid w:val="001362AB"/>
    <w:rsid w:val="0018220B"/>
    <w:rsid w:val="00306325"/>
    <w:rsid w:val="00412435"/>
    <w:rsid w:val="0045219D"/>
    <w:rsid w:val="005D6203"/>
    <w:rsid w:val="006150E8"/>
    <w:rsid w:val="007B1BC8"/>
    <w:rsid w:val="008D5A8B"/>
    <w:rsid w:val="00B4647F"/>
    <w:rsid w:val="00EF30D0"/>
    <w:rsid w:val="00F44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ONS23</b:Tag>
    <b:SourceType>InternetSite</b:SourceType>
    <b:Guid>{1CCDDDC7-328A-4416-B1B9-CA281444C49A}</b:Guid>
    <b:Title>Gender pay gap in the UK: 2023</b:Title>
    <b:Year>2023</b:Year>
    <b:Author>
      <b:Author>
        <b:Corporate>ONS</b:Corporate>
      </b:Author>
    </b:Author>
    <b:InternetSiteTitle>Office for National Statistics</b:InternetSiteTitle>
    <b:Month>11</b:Month>
    <b:Day>01</b:Day>
    <b:URL>https://www.ons.gov.uk/employmentandlabourmarket/peopleinwork/earningsandworkinghours/bulletins/genderpaygapintheuk/2023</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79E35C8A33D5543B2B9A00AF590AAAB" ma:contentTypeVersion="19" ma:contentTypeDescription="Create a new document." ma:contentTypeScope="" ma:versionID="dd0e8e41247398e9d0e3d9ee11f88f65">
  <xsd:schema xmlns:xsd="http://www.w3.org/2001/XMLSchema" xmlns:xs="http://www.w3.org/2001/XMLSchema" xmlns:p="http://schemas.microsoft.com/office/2006/metadata/properties" xmlns:ns2="f90bc060-684d-4fd9-b6e0-9dcae3ec0391" xmlns:ns3="267178a5-b57a-4220-8557-3d2e73f3f380" targetNamespace="http://schemas.microsoft.com/office/2006/metadata/properties" ma:root="true" ma:fieldsID="460efebf9fda41dd22bc69bd66ae9401" ns2:_="" ns3:_="">
    <xsd:import namespace="f90bc060-684d-4fd9-b6e0-9dcae3ec0391"/>
    <xsd:import namespace="267178a5-b57a-4220-8557-3d2e73f3f380"/>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c060-684d-4fd9-b6e0-9dcae3ec039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fd691-d440-46c1-9855-79c82727649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7178a5-b57a-4220-8557-3d2e73f3f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c5f9c5-6f3b-40aa-8a8a-d372d81b20a4}" ma:internalName="TaxCatchAll" ma:showField="CatchAllData" ma:web="267178a5-b57a-4220-8557-3d2e73f3f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iqueSourceRef xmlns="f90bc060-684d-4fd9-b6e0-9dcae3ec0391" xsi:nil="true"/>
    <CloudMigratorOriginId xmlns="f90bc060-684d-4fd9-b6e0-9dcae3ec0391" xsi:nil="true"/>
    <FileHash xmlns="f90bc060-684d-4fd9-b6e0-9dcae3ec0391" xsi:nil="true"/>
    <lcf76f155ced4ddcb4097134ff3c332f xmlns="f90bc060-684d-4fd9-b6e0-9dcae3ec0391">
      <Terms xmlns="http://schemas.microsoft.com/office/infopath/2007/PartnerControls"/>
    </lcf76f155ced4ddcb4097134ff3c332f>
    <TaxCatchAll xmlns="267178a5-b57a-4220-8557-3d2e73f3f380" xsi:nil="true"/>
    <CloudMigratorVersion xmlns="f90bc060-684d-4fd9-b6e0-9dcae3ec0391" xsi:nil="true"/>
    <SharedWithUsers xmlns="267178a5-b57a-4220-8557-3d2e73f3f380">
      <UserInfo>
        <DisplayName>Suzanne Haslam-Dockerty</DisplayName>
        <AccountId>89</AccountId>
        <AccountType/>
      </UserInfo>
      <UserInfo>
        <DisplayName>Josh Priest</DisplayName>
        <AccountId>3034</AccountId>
        <AccountType/>
      </UserInfo>
      <UserInfo>
        <DisplayName>Sarah Cunningham</DisplayName>
        <AccountId>14</AccountId>
        <AccountType/>
      </UserInfo>
    </SharedWithUsers>
  </documentManagement>
</p:properties>
</file>

<file path=customXml/itemProps1.xml><?xml version="1.0" encoding="utf-8"?>
<ds:datastoreItem xmlns:ds="http://schemas.openxmlformats.org/officeDocument/2006/customXml" ds:itemID="{3FBF0E1A-6B0E-4A69-8972-983755B3A6F7}">
  <ds:schemaRefs>
    <ds:schemaRef ds:uri="http://schemas.microsoft.com/sharepoint/v3/contenttype/forms"/>
  </ds:schemaRefs>
</ds:datastoreItem>
</file>

<file path=customXml/itemProps2.xml><?xml version="1.0" encoding="utf-8"?>
<ds:datastoreItem xmlns:ds="http://schemas.openxmlformats.org/officeDocument/2006/customXml" ds:itemID="{131F9E9F-D245-4640-A5D4-63FF18CA08CD}">
  <ds:schemaRefs>
    <ds:schemaRef ds:uri="http://schemas.openxmlformats.org/officeDocument/2006/bibliography"/>
  </ds:schemaRefs>
</ds:datastoreItem>
</file>

<file path=customXml/itemProps3.xml><?xml version="1.0" encoding="utf-8"?>
<ds:datastoreItem xmlns:ds="http://schemas.openxmlformats.org/officeDocument/2006/customXml" ds:itemID="{E1B4B5C3-A370-41DA-A067-25A4CF34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c060-684d-4fd9-b6e0-9dcae3ec0391"/>
    <ds:schemaRef ds:uri="267178a5-b57a-4220-8557-3d2e73f3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88ECB-F574-40FD-9AF7-73A2BA300057}">
  <ds:schemaRefs>
    <ds:schemaRef ds:uri="http://schemas.microsoft.com/office/2006/metadata/properties"/>
    <ds:schemaRef ds:uri="http://schemas.microsoft.com/office/infopath/2007/PartnerControls"/>
    <ds:schemaRef ds:uri="f90bc060-684d-4fd9-b6e0-9dcae3ec0391"/>
    <ds:schemaRef ds:uri="267178a5-b57a-4220-8557-3d2e73f3f380"/>
  </ds:schemaRefs>
</ds:datastoreItem>
</file>

<file path=docMetadata/LabelInfo.xml><?xml version="1.0" encoding="utf-8"?>
<clbl:labelList xmlns:clbl="http://schemas.microsoft.com/office/2020/mipLabelMetadata">
  <clbl:label id="{defa4170-0d19-0005-0004-bc88714345d2}" enabled="1" method="Standard" siteId="{d01f8ca0-c98d-4f0a-bb28-4e4ea4cfaf9f}"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1488</Words>
  <Characters>8096</Characters>
  <Application>Microsoft Office Word</Application>
  <DocSecurity>0</DocSecurity>
  <Lines>245</Lines>
  <Paragraphs>157</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Marron</dc:creator>
  <cp:keywords/>
  <dc:description/>
  <cp:lastModifiedBy>Sarah Cunningham</cp:lastModifiedBy>
  <cp:revision>2</cp:revision>
  <cp:lastPrinted>2024-04-11T16:01:00Z</cp:lastPrinted>
  <dcterms:created xsi:type="dcterms:W3CDTF">2024-04-12T10:10:00Z</dcterms:created>
  <dcterms:modified xsi:type="dcterms:W3CDTF">2024-04-12T10:10:00Z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0x010100D79E35C8A33D5543B2B9A00AF590AAAB</vt:lpwstr>
  </property>
  <property fmtid="{D5CDD505-2E9C-101B-9397-08002B2CF9AE}" pid="3" name="Order">
    <vt:r8>878000</vt:r8>
  </property>
  <property fmtid="{D5CDD505-2E9C-101B-9397-08002B2CF9AE}" pid="4" name="MSIP_Label_defa4170-0d19-0005-0004-bc88714345d2_Enabled">
    <vt:lpwstr>true</vt:lpwstr>
  </property>
  <property fmtid="{D5CDD505-2E9C-101B-9397-08002B2CF9AE}" pid="5" name="MSIP_Label_defa4170-0d19-0005-0004-bc88714345d2_SetDate">
    <vt:lpwstr>2023-03-05T16:06:26Z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d01f8ca0-c98d-4f0a-bb28-4e4ea4cfaf9f</vt:lpwstr>
  </property>
  <property fmtid="{D5CDD505-2E9C-101B-9397-08002B2CF9AE}" pid="9" name="MSIP_Label_defa4170-0d19-0005-0004-bc88714345d2_ActionId">
    <vt:lpwstr>b80c3a91-d86b-4d65-9fdb-3a75a1447c2a</vt:lpwstr>
  </property>
  <property fmtid="{D5CDD505-2E9C-101B-9397-08002B2CF9AE}" pid="10" name="MSIP_Label_defa4170-0d19-0005-0004-bc88714345d2_ContentBits">
    <vt:lpwstr>0</vt:lpwstr>
  </property>
  <property fmtid="{D5CDD505-2E9C-101B-9397-08002B2CF9AE}" pid="11" name="GrammarlyDocumentId">
    <vt:lpwstr>3ba2fb31ac52d44c43c15e307ab4a299d9c42802816bae8d2ab96120464adf6b</vt:lpwstr>
  </property>
  <property fmtid="{D5CDD505-2E9C-101B-9397-08002B2CF9AE}" pid="12" name="MediaServiceImageTags">
    <vt:lpwstr/>
  </property>
</Properties>
</file>