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F928D3" w14:paraId="1617E5F6" w14:textId="77777777" w:rsidTr="330DAB2D">
        <w:tc>
          <w:tcPr>
            <w:tcW w:w="1696" w:type="dxa"/>
          </w:tcPr>
          <w:p w14:paraId="5B70DDC0" w14:textId="0BC15DC4" w:rsidR="00F928D3" w:rsidRDefault="00F928D3" w:rsidP="00F928D3">
            <w:pPr>
              <w:pStyle w:val="BodyText"/>
              <w:jc w:val="both"/>
            </w:pPr>
            <w:r>
              <w:t xml:space="preserve">Salary: </w:t>
            </w:r>
          </w:p>
        </w:tc>
        <w:tc>
          <w:tcPr>
            <w:tcW w:w="8789" w:type="dxa"/>
          </w:tcPr>
          <w:p w14:paraId="78815E9F" w14:textId="3810B964" w:rsidR="00F928D3" w:rsidRDefault="001E2B82" w:rsidP="00E33EF0">
            <w:pPr>
              <w:pStyle w:val="BodyText"/>
              <w:jc w:val="both"/>
              <w:rPr>
                <w:b/>
                <w:bCs/>
              </w:rPr>
            </w:pPr>
            <w:r>
              <w:rPr>
                <w:b/>
                <w:bCs/>
              </w:rPr>
              <w:t>MPS/UPS</w:t>
            </w:r>
          </w:p>
        </w:tc>
      </w:tr>
      <w:tr w:rsidR="00F928D3" w14:paraId="67A9FDDD" w14:textId="77777777" w:rsidTr="330DAB2D">
        <w:tc>
          <w:tcPr>
            <w:tcW w:w="1696" w:type="dxa"/>
          </w:tcPr>
          <w:p w14:paraId="03CAF79B" w14:textId="1F082BA5" w:rsidR="00F928D3" w:rsidRDefault="00F928D3" w:rsidP="00F928D3">
            <w:pPr>
              <w:pStyle w:val="BodyText"/>
              <w:jc w:val="both"/>
            </w:pPr>
            <w:r>
              <w:t>Hours:</w:t>
            </w:r>
          </w:p>
        </w:tc>
        <w:tc>
          <w:tcPr>
            <w:tcW w:w="8789" w:type="dxa"/>
          </w:tcPr>
          <w:p w14:paraId="1C89A5CA" w14:textId="416428D2" w:rsidR="00F928D3" w:rsidRDefault="00FE75C8" w:rsidP="00F928D3">
            <w:pPr>
              <w:pStyle w:val="BodyText"/>
              <w:jc w:val="both"/>
            </w:pPr>
            <w:r>
              <w:t>Full time or Part-Time / Flexible working considered.</w:t>
            </w:r>
          </w:p>
        </w:tc>
      </w:tr>
      <w:tr w:rsidR="00F928D3" w14:paraId="15BCA5D0" w14:textId="77777777" w:rsidTr="330DAB2D">
        <w:tc>
          <w:tcPr>
            <w:tcW w:w="1696" w:type="dxa"/>
          </w:tcPr>
          <w:p w14:paraId="4D593CEF" w14:textId="4171861B" w:rsidR="00F928D3" w:rsidRDefault="00F928D3" w:rsidP="00F928D3">
            <w:pPr>
              <w:pStyle w:val="BodyText"/>
              <w:jc w:val="both"/>
            </w:pPr>
            <w:r>
              <w:t>Location:</w:t>
            </w:r>
          </w:p>
        </w:tc>
        <w:tc>
          <w:tcPr>
            <w:tcW w:w="8789" w:type="dxa"/>
          </w:tcPr>
          <w:p w14:paraId="738378C2" w14:textId="461EEEA4" w:rsidR="00F928D3" w:rsidRDefault="007A6D74" w:rsidP="00F928D3">
            <w:pPr>
              <w:pStyle w:val="BodyText"/>
              <w:jc w:val="both"/>
            </w:pPr>
            <w:r>
              <w:t>King Edward VI Sheldon Heath Academy</w:t>
            </w:r>
          </w:p>
        </w:tc>
      </w:tr>
      <w:tr w:rsidR="00F928D3" w14:paraId="73C7EF8D" w14:textId="77777777" w:rsidTr="330DAB2D">
        <w:tc>
          <w:tcPr>
            <w:tcW w:w="1696" w:type="dxa"/>
          </w:tcPr>
          <w:p w14:paraId="7BBCA093" w14:textId="2BA05ADA" w:rsidR="00F928D3" w:rsidRDefault="00F928D3" w:rsidP="00F928D3">
            <w:pPr>
              <w:pStyle w:val="BodyText"/>
              <w:jc w:val="both"/>
            </w:pPr>
            <w:r>
              <w:t>Closing date:</w:t>
            </w:r>
          </w:p>
        </w:tc>
        <w:tc>
          <w:tcPr>
            <w:tcW w:w="8789" w:type="dxa"/>
          </w:tcPr>
          <w:p w14:paraId="0E692BF4" w14:textId="514F149B" w:rsidR="00F928D3" w:rsidRDefault="009E387D" w:rsidP="00F928D3">
            <w:pPr>
              <w:pStyle w:val="BodyText"/>
              <w:jc w:val="both"/>
            </w:pPr>
            <w:r>
              <w:t>02.03.26 – We reserve the right to close the advert early</w:t>
            </w:r>
          </w:p>
        </w:tc>
      </w:tr>
      <w:tr w:rsidR="00F928D3" w14:paraId="73DF189E" w14:textId="77777777" w:rsidTr="330DAB2D">
        <w:tc>
          <w:tcPr>
            <w:tcW w:w="1696" w:type="dxa"/>
          </w:tcPr>
          <w:p w14:paraId="2A8AB270" w14:textId="5094B0DB" w:rsidR="00F928D3" w:rsidRDefault="00F928D3" w:rsidP="00F928D3">
            <w:pPr>
              <w:pStyle w:val="BodyText"/>
              <w:jc w:val="both"/>
            </w:pPr>
            <w:r>
              <w:t>Interview date:</w:t>
            </w:r>
          </w:p>
        </w:tc>
        <w:tc>
          <w:tcPr>
            <w:tcW w:w="8789" w:type="dxa"/>
          </w:tcPr>
          <w:p w14:paraId="25EC4350" w14:textId="5C6EBC26" w:rsidR="00F928D3" w:rsidRDefault="00F00B1C" w:rsidP="694932FF">
            <w:pPr>
              <w:pStyle w:val="BodyText"/>
              <w:jc w:val="both"/>
            </w:pPr>
            <w:r>
              <w:t>TBC</w:t>
            </w:r>
          </w:p>
        </w:tc>
      </w:tr>
      <w:tr w:rsidR="00F928D3" w14:paraId="29EB6F4A" w14:textId="77777777" w:rsidTr="330DAB2D">
        <w:tc>
          <w:tcPr>
            <w:tcW w:w="10485" w:type="dxa"/>
            <w:gridSpan w:val="2"/>
            <w:shd w:val="clear" w:color="auto" w:fill="D5DCE4" w:themeFill="text2" w:themeFillTint="33"/>
          </w:tcPr>
          <w:p w14:paraId="310BBA00" w14:textId="77777777" w:rsidR="00F928D3" w:rsidRDefault="00F928D3" w:rsidP="00A50DCD">
            <w:pPr>
              <w:pStyle w:val="BodyText"/>
              <w:jc w:val="both"/>
              <w:rPr>
                <w:b/>
                <w:bCs/>
              </w:rPr>
            </w:pPr>
          </w:p>
        </w:tc>
      </w:tr>
      <w:tr w:rsidR="00F928D3" w14:paraId="34AF6489" w14:textId="77777777" w:rsidTr="330DAB2D">
        <w:trPr>
          <w:trHeight w:val="284"/>
        </w:trPr>
        <w:tc>
          <w:tcPr>
            <w:tcW w:w="10485" w:type="dxa"/>
            <w:gridSpan w:val="2"/>
          </w:tcPr>
          <w:p w14:paraId="12D4C1B4" w14:textId="77777777" w:rsidR="00EF4418" w:rsidRDefault="00EF4418" w:rsidP="00EF4418">
            <w:pPr>
              <w:rPr>
                <w:rFonts w:cstheme="minorHAnsi"/>
                <w:szCs w:val="24"/>
              </w:rPr>
            </w:pPr>
          </w:p>
          <w:p w14:paraId="20402E8E" w14:textId="77777777" w:rsidR="00FE1CBF" w:rsidRDefault="00BA0EE7" w:rsidP="00BA0EE7">
            <w:pPr>
              <w:rPr>
                <w:rFonts w:cstheme="minorHAnsi"/>
                <w:szCs w:val="24"/>
              </w:rPr>
            </w:pPr>
            <w:r>
              <w:rPr>
                <w:rFonts w:cstheme="minorHAnsi"/>
                <w:szCs w:val="24"/>
              </w:rPr>
              <w:t>K</w:t>
            </w:r>
            <w:r w:rsidR="00EF4418">
              <w:rPr>
                <w:rFonts w:cstheme="minorHAnsi"/>
                <w:szCs w:val="24"/>
              </w:rPr>
              <w:t>ing Edward VI Sheldon Heath Aca</w:t>
            </w:r>
            <w:r>
              <w:rPr>
                <w:rFonts w:cstheme="minorHAnsi"/>
                <w:szCs w:val="24"/>
              </w:rPr>
              <w:t>demy</w:t>
            </w:r>
            <w:r w:rsidR="00FE1CBF">
              <w:rPr>
                <w:rFonts w:cstheme="minorHAnsi"/>
                <w:szCs w:val="24"/>
              </w:rPr>
              <w:t xml:space="preserve"> is a mixed 11-18 academy serving a vibrant and diverse community.</w:t>
            </w:r>
          </w:p>
          <w:p w14:paraId="0CD5EDA5" w14:textId="61171F80" w:rsidR="00BA0EE7" w:rsidRPr="00FE1CBF" w:rsidRDefault="00134200" w:rsidP="00BA0EE7">
            <w:pPr>
              <w:rPr>
                <w:rFonts w:cstheme="minorHAnsi"/>
                <w:szCs w:val="24"/>
              </w:rPr>
            </w:pPr>
            <w:r>
              <w:rPr>
                <w:rFonts w:cstheme="minorHAnsi"/>
                <w:szCs w:val="24"/>
              </w:rPr>
              <w:t>Judged to be</w:t>
            </w:r>
            <w:r w:rsidR="00FE1CBF">
              <w:rPr>
                <w:rFonts w:cstheme="minorHAnsi"/>
                <w:szCs w:val="24"/>
              </w:rPr>
              <w:t xml:space="preserve"> Good by Ofsted (February 2023)</w:t>
            </w:r>
            <w:r>
              <w:rPr>
                <w:rFonts w:cstheme="minorHAnsi"/>
                <w:szCs w:val="24"/>
              </w:rPr>
              <w:t>, we</w:t>
            </w:r>
            <w:r w:rsidR="00FE1CBF">
              <w:rPr>
                <w:rFonts w:cstheme="minorHAnsi"/>
                <w:szCs w:val="24"/>
              </w:rPr>
              <w:t xml:space="preserve"> </w:t>
            </w:r>
            <w:r>
              <w:rPr>
                <w:rFonts w:cstheme="minorHAnsi"/>
                <w:szCs w:val="24"/>
              </w:rPr>
              <w:t>are pr</w:t>
            </w:r>
            <w:r w:rsidR="00C662F5">
              <w:rPr>
                <w:rFonts w:cstheme="minorHAnsi"/>
                <w:szCs w:val="24"/>
              </w:rPr>
              <w:t>oud of our committed staff and aspirational pupils</w:t>
            </w:r>
            <w:r>
              <w:rPr>
                <w:rFonts w:cstheme="minorHAnsi"/>
                <w:szCs w:val="24"/>
              </w:rPr>
              <w:t>. We are looking to appoint a</w:t>
            </w:r>
            <w:r w:rsidR="00BA0EE7">
              <w:rPr>
                <w:rFonts w:cstheme="minorHAnsi"/>
              </w:rPr>
              <w:t xml:space="preserve"> talented an</w:t>
            </w:r>
            <w:r w:rsidR="00076241">
              <w:rPr>
                <w:rFonts w:cstheme="minorHAnsi"/>
              </w:rPr>
              <w:t>d</w:t>
            </w:r>
            <w:r w:rsidR="001E2B82">
              <w:rPr>
                <w:rFonts w:cstheme="minorHAnsi"/>
              </w:rPr>
              <w:t xml:space="preserve"> ambitious Teacher of</w:t>
            </w:r>
            <w:r w:rsidR="00B65BC9">
              <w:rPr>
                <w:rFonts w:cstheme="minorHAnsi"/>
              </w:rPr>
              <w:t xml:space="preserve"> S</w:t>
            </w:r>
            <w:r w:rsidR="0058097D">
              <w:rPr>
                <w:rFonts w:cstheme="minorHAnsi"/>
              </w:rPr>
              <w:t>ocial Science</w:t>
            </w:r>
            <w:r w:rsidR="00C74EFF">
              <w:rPr>
                <w:rFonts w:cstheme="minorHAnsi"/>
              </w:rPr>
              <w:t>s</w:t>
            </w:r>
            <w:r w:rsidR="00784F01">
              <w:rPr>
                <w:rFonts w:cstheme="minorHAnsi"/>
              </w:rPr>
              <w:t xml:space="preserve"> </w:t>
            </w:r>
            <w:r w:rsidR="00BA0EE7">
              <w:rPr>
                <w:rFonts w:cstheme="minorHAnsi"/>
              </w:rPr>
              <w:t xml:space="preserve">to join </w:t>
            </w:r>
            <w:r w:rsidR="00FE1CBF">
              <w:rPr>
                <w:rFonts w:cstheme="minorHAnsi"/>
              </w:rPr>
              <w:t xml:space="preserve">our </w:t>
            </w:r>
            <w:r w:rsidR="0058097D">
              <w:rPr>
                <w:rFonts w:cstheme="minorHAnsi"/>
              </w:rPr>
              <w:t>dedicated</w:t>
            </w:r>
            <w:r w:rsidR="00FE1CBF">
              <w:rPr>
                <w:rFonts w:cstheme="minorHAnsi"/>
              </w:rPr>
              <w:t xml:space="preserve">, </w:t>
            </w:r>
            <w:r w:rsidR="001A3C47">
              <w:rPr>
                <w:rFonts w:cstheme="minorHAnsi"/>
              </w:rPr>
              <w:t>well-resourced</w:t>
            </w:r>
            <w:r w:rsidR="00B65BC9">
              <w:rPr>
                <w:rFonts w:cstheme="minorHAnsi"/>
              </w:rPr>
              <w:t xml:space="preserve"> </w:t>
            </w:r>
            <w:r w:rsidR="0058097D">
              <w:rPr>
                <w:rFonts w:cstheme="minorHAnsi"/>
              </w:rPr>
              <w:t>faculty</w:t>
            </w:r>
            <w:r w:rsidR="001A3C47">
              <w:rPr>
                <w:rFonts w:cstheme="minorHAnsi"/>
              </w:rPr>
              <w:t xml:space="preserve">. </w:t>
            </w:r>
            <w:r w:rsidR="00BA0EE7">
              <w:rPr>
                <w:rFonts w:cstheme="minorHAnsi"/>
              </w:rPr>
              <w:t xml:space="preserve">The successful candidate will </w:t>
            </w:r>
            <w:r w:rsidR="00F8679D">
              <w:rPr>
                <w:rFonts w:cstheme="minorHAnsi"/>
              </w:rPr>
              <w:t xml:space="preserve">be committed to securing the best </w:t>
            </w:r>
            <w:r w:rsidR="00B65BC9">
              <w:rPr>
                <w:rFonts w:cstheme="minorHAnsi"/>
              </w:rPr>
              <w:t xml:space="preserve">student outcomes and </w:t>
            </w:r>
            <w:r w:rsidR="00F8679D">
              <w:rPr>
                <w:rFonts w:cstheme="minorHAnsi"/>
              </w:rPr>
              <w:t xml:space="preserve">have </w:t>
            </w:r>
            <w:r w:rsidR="00B65BC9">
              <w:rPr>
                <w:rFonts w:cstheme="minorHAnsi"/>
              </w:rPr>
              <w:t>the ability to deliver quality teaching that drives achievement and inspires a love of learning.</w:t>
            </w:r>
          </w:p>
          <w:p w14:paraId="5ACA2B36" w14:textId="18E8909C" w:rsidR="00BB3677" w:rsidRDefault="00BB3677" w:rsidP="00BA0EE7">
            <w:pPr>
              <w:rPr>
                <w:rFonts w:cstheme="minorHAnsi"/>
              </w:rPr>
            </w:pPr>
          </w:p>
          <w:p w14:paraId="2D00784E" w14:textId="27D8A520" w:rsidR="00BB3677" w:rsidRDefault="00BB3677" w:rsidP="00BA0EE7">
            <w:pPr>
              <w:rPr>
                <w:rFonts w:cstheme="minorHAnsi"/>
              </w:rPr>
            </w:pPr>
            <w:r>
              <w:rPr>
                <w:rFonts w:cstheme="minorHAnsi"/>
              </w:rPr>
              <w:t>The successful candidate will be:</w:t>
            </w:r>
          </w:p>
          <w:p w14:paraId="3D439424" w14:textId="03F96920" w:rsidR="00BB3677" w:rsidRDefault="00BB3677" w:rsidP="00BB3677">
            <w:pPr>
              <w:pStyle w:val="ListParagraph"/>
              <w:numPr>
                <w:ilvl w:val="0"/>
                <w:numId w:val="3"/>
              </w:numPr>
              <w:rPr>
                <w:rFonts w:cstheme="minorHAnsi"/>
              </w:rPr>
            </w:pPr>
            <w:r>
              <w:rPr>
                <w:rFonts w:cstheme="minorHAnsi"/>
              </w:rPr>
              <w:t>Highly motivated and enthusiastic</w:t>
            </w:r>
          </w:p>
          <w:p w14:paraId="642393F9" w14:textId="14B4BD2B" w:rsidR="00BB3677" w:rsidRDefault="00BB3677" w:rsidP="00BB3677">
            <w:pPr>
              <w:pStyle w:val="ListParagraph"/>
              <w:numPr>
                <w:ilvl w:val="0"/>
                <w:numId w:val="3"/>
              </w:numPr>
              <w:rPr>
                <w:rFonts w:cstheme="minorHAnsi"/>
              </w:rPr>
            </w:pPr>
            <w:r>
              <w:rPr>
                <w:rFonts w:cstheme="minorHAnsi"/>
              </w:rPr>
              <w:t>Have high expectations of students and what they can achieve</w:t>
            </w:r>
          </w:p>
          <w:p w14:paraId="74C9E77F" w14:textId="445A1B11" w:rsidR="00BB3677" w:rsidRDefault="00BB3677" w:rsidP="00BB3677">
            <w:pPr>
              <w:pStyle w:val="ListParagraph"/>
              <w:numPr>
                <w:ilvl w:val="0"/>
                <w:numId w:val="3"/>
              </w:numPr>
              <w:rPr>
                <w:rFonts w:cstheme="minorHAnsi"/>
              </w:rPr>
            </w:pPr>
            <w:r>
              <w:rPr>
                <w:rFonts w:cstheme="minorHAnsi"/>
              </w:rPr>
              <w:t>Have strong subject knowledge</w:t>
            </w:r>
          </w:p>
          <w:p w14:paraId="5865378C" w14:textId="480AF98B" w:rsidR="00BB3677" w:rsidRDefault="00076241" w:rsidP="00BB3677">
            <w:pPr>
              <w:pStyle w:val="ListParagraph"/>
              <w:numPr>
                <w:ilvl w:val="0"/>
                <w:numId w:val="3"/>
              </w:numPr>
              <w:rPr>
                <w:rFonts w:cstheme="minorHAnsi"/>
              </w:rPr>
            </w:pPr>
            <w:r>
              <w:rPr>
                <w:rFonts w:cstheme="minorHAnsi"/>
              </w:rPr>
              <w:t>A</w:t>
            </w:r>
            <w:r w:rsidR="00BB3677">
              <w:rPr>
                <w:rFonts w:cstheme="minorHAnsi"/>
              </w:rPr>
              <w:t xml:space="preserve"> committed team player</w:t>
            </w:r>
          </w:p>
          <w:p w14:paraId="22768C4E" w14:textId="29D8E029" w:rsidR="00BA0EE7" w:rsidRDefault="00BA0EE7" w:rsidP="00BA0EE7">
            <w:pPr>
              <w:rPr>
                <w:rFonts w:cstheme="minorHAnsi"/>
              </w:rPr>
            </w:pPr>
          </w:p>
          <w:p w14:paraId="64F07AC0" w14:textId="52F73FFD" w:rsidR="008707AD" w:rsidRDefault="00BA0EE7" w:rsidP="00EF4418">
            <w:pPr>
              <w:rPr>
                <w:rFonts w:cstheme="minorHAnsi"/>
                <w:szCs w:val="24"/>
              </w:rPr>
            </w:pPr>
            <w:r>
              <w:rPr>
                <w:rFonts w:cstheme="minorHAnsi"/>
                <w:szCs w:val="24"/>
              </w:rPr>
              <w:t>We can offer you</w:t>
            </w:r>
            <w:r w:rsidR="00EF4418">
              <w:rPr>
                <w:rFonts w:cstheme="minorHAnsi"/>
                <w:szCs w:val="24"/>
              </w:rPr>
              <w:t>:</w:t>
            </w:r>
          </w:p>
          <w:p w14:paraId="6FDACDB8" w14:textId="6248CB53" w:rsidR="00BA0EE7" w:rsidRDefault="00BA0EE7" w:rsidP="00EF4418">
            <w:pPr>
              <w:pStyle w:val="ListParagraph"/>
              <w:numPr>
                <w:ilvl w:val="0"/>
                <w:numId w:val="2"/>
              </w:numPr>
              <w:rPr>
                <w:rFonts w:cstheme="minorHAnsi"/>
              </w:rPr>
            </w:pPr>
            <w:r>
              <w:rPr>
                <w:rFonts w:cstheme="minorHAnsi"/>
              </w:rPr>
              <w:t>Access to an Employee Assistance Programme</w:t>
            </w:r>
          </w:p>
          <w:p w14:paraId="5ED98908" w14:textId="391E8D79" w:rsidR="00EF4418" w:rsidRDefault="00BA0EE7" w:rsidP="00EF4418">
            <w:pPr>
              <w:pStyle w:val="ListParagraph"/>
              <w:numPr>
                <w:ilvl w:val="0"/>
                <w:numId w:val="2"/>
              </w:numPr>
              <w:rPr>
                <w:rFonts w:cstheme="minorHAnsi"/>
              </w:rPr>
            </w:pPr>
            <w:r>
              <w:rPr>
                <w:rFonts w:cstheme="minorHAnsi"/>
              </w:rPr>
              <w:t>A</w:t>
            </w:r>
            <w:r w:rsidR="00EF4418">
              <w:rPr>
                <w:rFonts w:cstheme="minorHAnsi"/>
              </w:rPr>
              <w:t xml:space="preserve"> modern, well-resourced environment</w:t>
            </w:r>
          </w:p>
          <w:p w14:paraId="3D578C89" w14:textId="5D26B010" w:rsidR="00EF4418" w:rsidRDefault="00BA0EE7" w:rsidP="00EF4418">
            <w:pPr>
              <w:pStyle w:val="ListParagraph"/>
              <w:numPr>
                <w:ilvl w:val="0"/>
                <w:numId w:val="2"/>
              </w:numPr>
              <w:rPr>
                <w:rFonts w:cstheme="minorHAnsi"/>
              </w:rPr>
            </w:pPr>
            <w:r>
              <w:rPr>
                <w:rFonts w:cstheme="minorHAnsi"/>
              </w:rPr>
              <w:t>S</w:t>
            </w:r>
            <w:r w:rsidR="00EF4418">
              <w:rPr>
                <w:rFonts w:cstheme="minorHAnsi"/>
              </w:rPr>
              <w:t>upportive, enthusiastic and committed colleagues</w:t>
            </w:r>
          </w:p>
          <w:p w14:paraId="18F5FBDE" w14:textId="761FDB6F" w:rsidR="00EF4418" w:rsidRDefault="00BA0EE7" w:rsidP="00EF4418">
            <w:pPr>
              <w:pStyle w:val="ListParagraph"/>
              <w:numPr>
                <w:ilvl w:val="0"/>
                <w:numId w:val="2"/>
              </w:numPr>
              <w:rPr>
                <w:rFonts w:cstheme="minorHAnsi"/>
              </w:rPr>
            </w:pPr>
            <w:r>
              <w:rPr>
                <w:rFonts w:cstheme="minorHAnsi"/>
              </w:rPr>
              <w:t>A</w:t>
            </w:r>
            <w:r w:rsidR="008707AD">
              <w:rPr>
                <w:rFonts w:cstheme="minorHAnsi"/>
              </w:rPr>
              <w:t>ccess to a</w:t>
            </w:r>
            <w:r w:rsidR="00EF4418" w:rsidRPr="00EF4418">
              <w:rPr>
                <w:rFonts w:cstheme="minorHAnsi"/>
              </w:rPr>
              <w:t xml:space="preserve"> range of CPD and training</w:t>
            </w:r>
            <w:r>
              <w:rPr>
                <w:rFonts w:cstheme="minorHAnsi"/>
              </w:rPr>
              <w:t xml:space="preserve"> tailored to your needs</w:t>
            </w:r>
          </w:p>
          <w:p w14:paraId="41C833B3" w14:textId="57F58BA4" w:rsidR="00EF4418" w:rsidRDefault="00EF4418" w:rsidP="00EF4418">
            <w:pPr>
              <w:pStyle w:val="ListParagraph"/>
              <w:numPr>
                <w:ilvl w:val="0"/>
                <w:numId w:val="2"/>
              </w:numPr>
              <w:rPr>
                <w:rFonts w:cstheme="minorHAnsi"/>
              </w:rPr>
            </w:pPr>
            <w:r>
              <w:rPr>
                <w:rFonts w:cstheme="minorHAnsi"/>
              </w:rPr>
              <w:t>T</w:t>
            </w:r>
            <w:r w:rsidR="00BA0EE7">
              <w:rPr>
                <w:rFonts w:cstheme="minorHAnsi"/>
              </w:rPr>
              <w:t>he opportunity to t</w:t>
            </w:r>
            <w:r>
              <w:rPr>
                <w:rFonts w:cstheme="minorHAnsi"/>
              </w:rPr>
              <w:t xml:space="preserve">each across </w:t>
            </w:r>
            <w:r w:rsidR="0058097D">
              <w:rPr>
                <w:rFonts w:cstheme="minorHAnsi"/>
              </w:rPr>
              <w:t>Key Stage 4 and Key Stage 5</w:t>
            </w:r>
          </w:p>
          <w:p w14:paraId="150279DF" w14:textId="24F6BFC6" w:rsidR="00EF4418" w:rsidRDefault="00EF4418" w:rsidP="00EF4418">
            <w:pPr>
              <w:rPr>
                <w:rFonts w:cstheme="minorHAnsi"/>
              </w:rPr>
            </w:pPr>
          </w:p>
          <w:p w14:paraId="414FFD26" w14:textId="0B2700EE" w:rsidR="00B53398" w:rsidRDefault="00B53398" w:rsidP="001E2B82">
            <w:pPr>
              <w:jc w:val="both"/>
              <w:rPr>
                <w:b/>
                <w:bCs/>
              </w:rPr>
            </w:pPr>
          </w:p>
        </w:tc>
      </w:tr>
      <w:tr w:rsidR="008707AD" w14:paraId="4078776C" w14:textId="77777777" w:rsidTr="008707AD">
        <w:trPr>
          <w:trHeight w:val="284"/>
        </w:trPr>
        <w:tc>
          <w:tcPr>
            <w:tcW w:w="10485" w:type="dxa"/>
            <w:gridSpan w:val="2"/>
            <w:shd w:val="clear" w:color="auto" w:fill="0070C0"/>
          </w:tcPr>
          <w:p w14:paraId="04FEDD32" w14:textId="5674FE41" w:rsidR="008707AD" w:rsidRPr="008707AD" w:rsidRDefault="008707AD" w:rsidP="00EF4418">
            <w:pPr>
              <w:rPr>
                <w:rFonts w:cstheme="minorHAnsi"/>
                <w:b/>
                <w:szCs w:val="24"/>
              </w:rPr>
            </w:pPr>
            <w:r w:rsidRPr="008707AD">
              <w:rPr>
                <w:rFonts w:cstheme="minorHAnsi"/>
                <w:b/>
                <w:szCs w:val="24"/>
              </w:rPr>
              <w:t>About the Academy Trust</w:t>
            </w:r>
          </w:p>
        </w:tc>
      </w:tr>
      <w:tr w:rsidR="00F928D3" w14:paraId="4F33DF78" w14:textId="77777777" w:rsidTr="008707AD">
        <w:trPr>
          <w:trHeight w:val="284"/>
        </w:trPr>
        <w:tc>
          <w:tcPr>
            <w:tcW w:w="10485" w:type="dxa"/>
            <w:gridSpan w:val="2"/>
            <w:shd w:val="clear" w:color="auto" w:fill="auto"/>
          </w:tcPr>
          <w:p w14:paraId="128F4567" w14:textId="77777777" w:rsidR="008707AD" w:rsidRPr="00326D89" w:rsidRDefault="008707AD" w:rsidP="008707AD">
            <w:pPr>
              <w:spacing w:after="160" w:line="259" w:lineRule="auto"/>
              <w:jc w:val="both"/>
              <w:rPr>
                <w:rFonts w:ascii="Calibri" w:hAnsi="Calibri" w:cs="Calibri"/>
                <w:shd w:val="clear" w:color="auto" w:fill="FFFFFF"/>
              </w:rPr>
            </w:pPr>
            <w:r w:rsidRPr="00326D89">
              <w:rPr>
                <w:rFonts w:ascii="Calibri" w:hAnsi="Calibri" w:cs="Calibri"/>
                <w:shd w:val="clear" w:color="auto" w:fill="FFFFFF"/>
              </w:rPr>
              <w:t xml:space="preserve">The King Edward VI Foundation, Birmingham, is a progressive charitable organisation which has supported excellence in education across the </w:t>
            </w:r>
            <w:proofErr w:type="gramStart"/>
            <w:r w:rsidRPr="00326D89">
              <w:rPr>
                <w:rFonts w:ascii="Calibri" w:hAnsi="Calibri" w:cs="Calibri"/>
                <w:shd w:val="clear" w:color="auto" w:fill="FFFFFF"/>
              </w:rPr>
              <w:t>City</w:t>
            </w:r>
            <w:proofErr w:type="gramEnd"/>
            <w:r w:rsidRPr="00326D89">
              <w:rPr>
                <w:rFonts w:ascii="Calibri" w:hAnsi="Calibri" w:cs="Calibri"/>
                <w:shd w:val="clear" w:color="auto" w:fill="FFFFFF"/>
              </w:rPr>
              <w:t xml:space="preserve"> since 1552.  Our schools are diverse in nature but have a common purpose and commitment to achieving our mission of “making Birmingham the best place to be educated in the UK”.  </w:t>
            </w:r>
          </w:p>
          <w:p w14:paraId="1D663C37" w14:textId="77777777" w:rsidR="008707AD" w:rsidRPr="00326D89" w:rsidRDefault="008707AD" w:rsidP="008707AD">
            <w:pPr>
              <w:spacing w:after="160" w:line="259" w:lineRule="auto"/>
              <w:jc w:val="both"/>
              <w:rPr>
                <w:rFonts w:ascii="Calibri" w:hAnsi="Calibri" w:cs="Calibri"/>
                <w:shd w:val="clear" w:color="auto" w:fill="FFFFFF"/>
              </w:rPr>
            </w:pPr>
            <w:r w:rsidRPr="000128D6">
              <w:rPr>
                <w:rFonts w:ascii="Calibri" w:hAnsi="Calibri" w:cs="Calibri"/>
                <w:shd w:val="clear" w:color="auto" w:fill="FFFFFF"/>
              </w:rPr>
              <w:t>Our Academy Trust currently consists of two independent schools, six selective, and f</w:t>
            </w:r>
            <w:r>
              <w:rPr>
                <w:rFonts w:ascii="Calibri" w:hAnsi="Calibri" w:cs="Calibri"/>
                <w:shd w:val="clear" w:color="auto" w:fill="FFFFFF"/>
              </w:rPr>
              <w:t>ive</w:t>
            </w:r>
            <w:r w:rsidRPr="000128D6">
              <w:rPr>
                <w:rFonts w:ascii="Calibri" w:hAnsi="Calibri" w:cs="Calibri"/>
                <w:shd w:val="clear" w:color="auto" w:fill="FFFFFF"/>
              </w:rPr>
              <w:t xml:space="preserve"> non selective academies.  </w:t>
            </w:r>
            <w:r w:rsidRPr="00326D89">
              <w:rPr>
                <w:rFonts w:ascii="Calibri" w:hAnsi="Calibri" w:cs="Calibri"/>
                <w:shd w:val="clear" w:color="auto" w:fill="FFFFFF"/>
              </w:rPr>
              <w:t xml:space="preserve">Our recent expansion into a wider diversity of local communities is enabling us to accelerate our strategies for improving the life chances of young people in Birmingham, whatever their background.  </w:t>
            </w:r>
          </w:p>
          <w:p w14:paraId="7620BB81" w14:textId="77777777" w:rsidR="008707AD" w:rsidRPr="000128D6" w:rsidRDefault="008707AD" w:rsidP="008707AD">
            <w:pPr>
              <w:spacing w:after="160" w:line="259" w:lineRule="auto"/>
              <w:jc w:val="both"/>
              <w:rPr>
                <w:rFonts w:cstheme="minorHAnsi"/>
              </w:rPr>
            </w:pPr>
            <w:r w:rsidRPr="000128D6">
              <w:rPr>
                <w:rFonts w:cstheme="minorHAnsi"/>
                <w:bCs/>
                <w:snapToGrid w:val="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60C64689" w14:textId="77777777" w:rsidR="008707AD" w:rsidRDefault="008707AD" w:rsidP="008707AD">
            <w:pPr>
              <w:spacing w:after="160" w:line="259" w:lineRule="auto"/>
              <w:jc w:val="both"/>
            </w:pPr>
            <w:r w:rsidRPr="00326D89">
              <w:t xml:space="preserve">Our highly focused five-year strategy aims to build on our existing strengths and heritage and deliver our ambitious growth strategy which aims to bring in a further five academies over the next five years.   </w:t>
            </w:r>
          </w:p>
          <w:p w14:paraId="6B5C4E47" w14:textId="77777777" w:rsidR="00F928D3" w:rsidRDefault="00F928D3" w:rsidP="00F928D3">
            <w:pPr>
              <w:pStyle w:val="BodyText"/>
              <w:jc w:val="both"/>
            </w:pPr>
          </w:p>
        </w:tc>
      </w:tr>
      <w:tr w:rsidR="00DE7D77" w14:paraId="74A13616" w14:textId="77777777" w:rsidTr="00CD355D">
        <w:trPr>
          <w:trHeight w:val="284"/>
        </w:trPr>
        <w:tc>
          <w:tcPr>
            <w:tcW w:w="10485" w:type="dxa"/>
            <w:gridSpan w:val="2"/>
            <w:shd w:val="clear" w:color="auto" w:fill="69A6FF"/>
          </w:tcPr>
          <w:p w14:paraId="284B87B0" w14:textId="02C3913C" w:rsidR="00DE7D77" w:rsidRPr="00DE7D77" w:rsidRDefault="00DE7D77" w:rsidP="00F928D3">
            <w:pPr>
              <w:pStyle w:val="BodyText"/>
              <w:jc w:val="both"/>
              <w:rPr>
                <w:b/>
                <w:bCs/>
              </w:rPr>
            </w:pPr>
            <w:r w:rsidRPr="00DE7D77">
              <w:rPr>
                <w:b/>
                <w:bCs/>
              </w:rPr>
              <w:t>How to Apply</w:t>
            </w:r>
          </w:p>
        </w:tc>
      </w:tr>
      <w:tr w:rsidR="00F00B1C" w14:paraId="6C55224D" w14:textId="77777777" w:rsidTr="330DAB2D">
        <w:trPr>
          <w:trHeight w:val="284"/>
        </w:trPr>
        <w:tc>
          <w:tcPr>
            <w:tcW w:w="10485" w:type="dxa"/>
            <w:gridSpan w:val="2"/>
          </w:tcPr>
          <w:p w14:paraId="7A0371D3" w14:textId="77777777" w:rsidR="00F00B1C" w:rsidRPr="0093420F" w:rsidRDefault="00F00B1C" w:rsidP="00F00B1C">
            <w:pPr>
              <w:rPr>
                <w:rFonts w:ascii="Calibri" w:hAnsi="Calibri" w:cs="Helvetica"/>
                <w:color w:val="333333"/>
                <w:shd w:val="clear" w:color="auto" w:fill="FFFFFF"/>
              </w:rPr>
            </w:pPr>
            <w:r w:rsidRPr="0093420F">
              <w:rPr>
                <w:rFonts w:ascii="Calibri" w:hAnsi="Calibri" w:cs="Helvetica"/>
                <w:color w:val="333333"/>
                <w:shd w:val="clear" w:color="auto" w:fill="FFFFFF"/>
              </w:rPr>
              <w:t xml:space="preserve">A full job description and an application pack for this post, can be found at: </w:t>
            </w:r>
          </w:p>
          <w:p w14:paraId="7132A855" w14:textId="77777777" w:rsidR="00F00B1C" w:rsidRPr="0093420F" w:rsidRDefault="00F00B1C" w:rsidP="00F00B1C">
            <w:pPr>
              <w:rPr>
                <w:rFonts w:ascii="Calibri" w:hAnsi="Calibri" w:cs="Helvetica"/>
                <w:color w:val="333333"/>
                <w:shd w:val="clear" w:color="auto" w:fill="FFFFFF"/>
              </w:rPr>
            </w:pPr>
          </w:p>
          <w:p w14:paraId="3F70A84F" w14:textId="77777777" w:rsidR="00F00B1C" w:rsidRPr="0093420F" w:rsidRDefault="009E387D" w:rsidP="00F00B1C">
            <w:pPr>
              <w:rPr>
                <w:rFonts w:ascii="Calibri" w:hAnsi="Calibri" w:cs="Helvetica"/>
                <w:color w:val="333333"/>
                <w:shd w:val="clear" w:color="auto" w:fill="FFFFFF"/>
              </w:rPr>
            </w:pPr>
            <w:hyperlink r:id="rId10" w:history="1">
              <w:r w:rsidR="00F00B1C" w:rsidRPr="0093420F">
                <w:rPr>
                  <w:rStyle w:val="Hyperlink"/>
                  <w:rFonts w:ascii="Calibri" w:hAnsi="Calibri" w:cs="Helvetica"/>
                  <w:shd w:val="clear" w:color="auto" w:fill="FFFFFF"/>
                </w:rPr>
                <w:t>Employment - King Edward VI Sheldon Heath Academy (keshacademy.com)</w:t>
              </w:r>
            </w:hyperlink>
          </w:p>
          <w:p w14:paraId="5FF5BA09" w14:textId="77777777" w:rsidR="00F00B1C" w:rsidRPr="0093420F" w:rsidRDefault="00F00B1C" w:rsidP="00F00B1C">
            <w:pPr>
              <w:rPr>
                <w:rFonts w:ascii="Calibri" w:hAnsi="Calibri" w:cs="Helvetica"/>
                <w:color w:val="333333"/>
                <w:shd w:val="clear" w:color="auto" w:fill="FFFFFF"/>
              </w:rPr>
            </w:pPr>
          </w:p>
          <w:p w14:paraId="70EED537" w14:textId="77777777" w:rsidR="00F00B1C" w:rsidRPr="0093420F" w:rsidRDefault="00F00B1C" w:rsidP="00F00B1C">
            <w:pPr>
              <w:rPr>
                <w:rFonts w:ascii="Calibri" w:hAnsi="Calibri" w:cs="Helvetica"/>
                <w:color w:val="333333"/>
                <w:shd w:val="clear" w:color="auto" w:fill="FFFFFF"/>
              </w:rPr>
            </w:pPr>
            <w:r w:rsidRPr="0093420F">
              <w:rPr>
                <w:rFonts w:ascii="Calibri" w:hAnsi="Calibri" w:cs="Helvetica"/>
                <w:color w:val="333333"/>
                <w:shd w:val="clear" w:color="auto" w:fill="FFFFFF"/>
              </w:rPr>
              <w:t xml:space="preserve">or can be obtained from: </w:t>
            </w:r>
          </w:p>
          <w:p w14:paraId="1576990B" w14:textId="77777777" w:rsidR="00F00B1C" w:rsidRPr="0093420F" w:rsidRDefault="00F00B1C" w:rsidP="00F00B1C">
            <w:pPr>
              <w:rPr>
                <w:rFonts w:ascii="Calibri" w:hAnsi="Calibri" w:cs="Helvetica"/>
                <w:color w:val="333333"/>
                <w:shd w:val="clear" w:color="auto" w:fill="FFFFFF"/>
              </w:rPr>
            </w:pPr>
          </w:p>
          <w:p w14:paraId="01D9EA6E" w14:textId="77777777" w:rsidR="00F00B1C" w:rsidRPr="0093420F" w:rsidRDefault="00F00B1C" w:rsidP="00F00B1C">
            <w:pPr>
              <w:rPr>
                <w:rFonts w:ascii="Calibri" w:hAnsi="Calibri" w:cs="Helvetica"/>
                <w:color w:val="333333"/>
                <w:shd w:val="clear" w:color="auto" w:fill="FFFFFF"/>
              </w:rPr>
            </w:pPr>
            <w:r w:rsidRPr="0093420F">
              <w:rPr>
                <w:rFonts w:ascii="Calibri" w:hAnsi="Calibri" w:cs="Helvetica"/>
                <w:color w:val="333333"/>
                <w:shd w:val="clear" w:color="auto" w:fill="FFFFFF"/>
              </w:rPr>
              <w:t>King Edward VI Sheldon Heath Academy</w:t>
            </w:r>
          </w:p>
          <w:p w14:paraId="2003309D" w14:textId="77777777" w:rsidR="00F00B1C" w:rsidRPr="0093420F" w:rsidRDefault="00F00B1C" w:rsidP="00F00B1C">
            <w:pPr>
              <w:rPr>
                <w:rFonts w:ascii="Calibri" w:hAnsi="Calibri" w:cs="Helvetica"/>
                <w:color w:val="333333"/>
                <w:shd w:val="clear" w:color="auto" w:fill="FFFFFF"/>
              </w:rPr>
            </w:pPr>
            <w:r w:rsidRPr="0093420F">
              <w:rPr>
                <w:rFonts w:ascii="Calibri" w:hAnsi="Calibri" w:cs="Helvetica"/>
                <w:color w:val="333333"/>
                <w:shd w:val="clear" w:color="auto" w:fill="FFFFFF"/>
              </w:rPr>
              <w:t>Sheldon Heath Road</w:t>
            </w:r>
          </w:p>
          <w:p w14:paraId="356CC8C9" w14:textId="77777777" w:rsidR="00F00B1C" w:rsidRPr="0093420F" w:rsidRDefault="00F00B1C" w:rsidP="00F00B1C">
            <w:pPr>
              <w:rPr>
                <w:rFonts w:ascii="Calibri" w:hAnsi="Calibri" w:cs="Helvetica"/>
                <w:color w:val="333333"/>
                <w:shd w:val="clear" w:color="auto" w:fill="FFFFFF"/>
              </w:rPr>
            </w:pPr>
            <w:r w:rsidRPr="0093420F">
              <w:rPr>
                <w:rFonts w:ascii="Calibri" w:hAnsi="Calibri" w:cs="Helvetica"/>
                <w:color w:val="333333"/>
                <w:shd w:val="clear" w:color="auto" w:fill="FFFFFF"/>
              </w:rPr>
              <w:t>Birmingham</w:t>
            </w:r>
          </w:p>
          <w:p w14:paraId="295F9805" w14:textId="77777777" w:rsidR="00F00B1C" w:rsidRPr="0093420F" w:rsidRDefault="00F00B1C" w:rsidP="00F00B1C">
            <w:pPr>
              <w:rPr>
                <w:rFonts w:ascii="Calibri" w:hAnsi="Calibri" w:cs="Helvetica"/>
                <w:color w:val="333333"/>
                <w:shd w:val="clear" w:color="auto" w:fill="FFFFFF"/>
              </w:rPr>
            </w:pPr>
            <w:r w:rsidRPr="0093420F">
              <w:rPr>
                <w:rFonts w:ascii="Calibri" w:hAnsi="Calibri" w:cs="Helvetica"/>
                <w:color w:val="333333"/>
                <w:shd w:val="clear" w:color="auto" w:fill="FFFFFF"/>
              </w:rPr>
              <w:t>B26 2RZ</w:t>
            </w:r>
          </w:p>
          <w:p w14:paraId="5357B8DA" w14:textId="77777777" w:rsidR="00F00B1C" w:rsidRPr="0093420F" w:rsidRDefault="00F00B1C" w:rsidP="00F00B1C">
            <w:pPr>
              <w:rPr>
                <w:rFonts w:ascii="Calibri" w:hAnsi="Calibri" w:cs="Helvetica"/>
                <w:color w:val="333333"/>
                <w:shd w:val="clear" w:color="auto" w:fill="FFFFFF"/>
              </w:rPr>
            </w:pPr>
            <w:r w:rsidRPr="0093420F">
              <w:rPr>
                <w:rFonts w:ascii="Calibri" w:hAnsi="Calibri" w:cs="Helvetica"/>
                <w:color w:val="333333"/>
                <w:shd w:val="clear" w:color="auto" w:fill="FFFFFF"/>
              </w:rPr>
              <w:t>Tel: 0121 647 2471</w:t>
            </w:r>
          </w:p>
          <w:p w14:paraId="675B7682" w14:textId="77777777" w:rsidR="00F00B1C" w:rsidRPr="0093420F" w:rsidRDefault="00F00B1C" w:rsidP="00F00B1C">
            <w:pPr>
              <w:rPr>
                <w:rFonts w:ascii="Calibri" w:hAnsi="Calibri" w:cs="Helvetica"/>
                <w:color w:val="333333"/>
                <w:shd w:val="clear" w:color="auto" w:fill="FFFFFF"/>
              </w:rPr>
            </w:pPr>
            <w:proofErr w:type="gramStart"/>
            <w:r w:rsidRPr="0093420F">
              <w:rPr>
                <w:rFonts w:ascii="Calibri" w:hAnsi="Calibri" w:cs="Helvetica"/>
                <w:color w:val="333333"/>
                <w:shd w:val="clear" w:color="auto" w:fill="FFFFFF"/>
              </w:rPr>
              <w:t>Email:vacancies@keshacademy.com</w:t>
            </w:r>
            <w:proofErr w:type="gramEnd"/>
          </w:p>
          <w:p w14:paraId="4966158A" w14:textId="77777777" w:rsidR="00F00B1C" w:rsidRDefault="00F00B1C" w:rsidP="00F00B1C">
            <w:pPr>
              <w:pStyle w:val="BodyText"/>
              <w:jc w:val="both"/>
            </w:pPr>
          </w:p>
        </w:tc>
      </w:tr>
      <w:tr w:rsidR="00F00B1C" w14:paraId="5D6CD7B1" w14:textId="77777777" w:rsidTr="330DAB2D">
        <w:trPr>
          <w:trHeight w:val="284"/>
        </w:trPr>
        <w:tc>
          <w:tcPr>
            <w:tcW w:w="10485" w:type="dxa"/>
            <w:gridSpan w:val="2"/>
            <w:shd w:val="clear" w:color="auto" w:fill="D5DCE4" w:themeFill="text2" w:themeFillTint="33"/>
          </w:tcPr>
          <w:p w14:paraId="681A8BAA" w14:textId="77777777" w:rsidR="00F00B1C" w:rsidRDefault="00F00B1C" w:rsidP="00F00B1C">
            <w:pPr>
              <w:rPr>
                <w:rFonts w:ascii="Calibri" w:hAnsi="Calibri" w:cs="Helvetica"/>
                <w:color w:val="333333"/>
                <w:shd w:val="clear" w:color="auto" w:fill="FFFFFF"/>
              </w:rPr>
            </w:pPr>
          </w:p>
        </w:tc>
      </w:tr>
      <w:tr w:rsidR="00F00B1C" w14:paraId="4E352E60" w14:textId="77777777" w:rsidTr="330DAB2D">
        <w:trPr>
          <w:trHeight w:val="284"/>
        </w:trPr>
        <w:tc>
          <w:tcPr>
            <w:tcW w:w="10485" w:type="dxa"/>
            <w:gridSpan w:val="2"/>
          </w:tcPr>
          <w:p w14:paraId="6485F624" w14:textId="28820ED1" w:rsidR="00F00B1C" w:rsidRDefault="00F00B1C" w:rsidP="00F00B1C">
            <w:pPr>
              <w:jc w:val="center"/>
              <w:rPr>
                <w:rFonts w:ascii="Calibri" w:hAnsi="Calibri"/>
                <w:i/>
                <w:iCs/>
              </w:rPr>
            </w:pPr>
            <w:r>
              <w:rPr>
                <w:rFonts w:ascii="Calibri" w:hAnsi="Calibri"/>
                <w:i/>
              </w:rPr>
              <w:t xml:space="preserve">The Schools of King Edward VI in Birmingham is an educational charity supporting eleven schools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F00B1C" w:rsidRDefault="00F00B1C" w:rsidP="00F00B1C">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F00B1C" w:rsidRDefault="00F00B1C" w:rsidP="00F00B1C">
            <w:pPr>
              <w:jc w:val="center"/>
              <w:rPr>
                <w:rFonts w:ascii="Calibri" w:hAnsi="Calibri" w:cs="Helvetica"/>
                <w:color w:val="333333"/>
                <w:shd w:val="clear" w:color="auto" w:fill="FFFFFF"/>
              </w:rPr>
            </w:pPr>
            <w:r>
              <w:rPr>
                <w:rFonts w:ascii="Calibri" w:hAnsi="Calibri" w:cs="Arial"/>
                <w:i/>
              </w:rPr>
              <w:t>CHARITY NUMBER: 529051</w:t>
            </w:r>
          </w:p>
        </w:tc>
      </w:tr>
    </w:tbl>
    <w:p w14:paraId="163C8282" w14:textId="77777777" w:rsidR="00A50DCD" w:rsidRDefault="00A50DCD" w:rsidP="00A50DCD">
      <w:pPr>
        <w:pStyle w:val="BodyText"/>
        <w:jc w:val="both"/>
      </w:pPr>
    </w:p>
    <w:p w14:paraId="113DDA55" w14:textId="77777777" w:rsidR="009C6C1E" w:rsidRDefault="009C6C1E" w:rsidP="006A2811"/>
    <w:sectPr w:rsidR="009C6C1E" w:rsidSect="00F928D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653F" w14:textId="77777777" w:rsidR="00B22807" w:rsidRDefault="00B22807" w:rsidP="00A50DCD">
      <w:pPr>
        <w:spacing w:after="0" w:line="240" w:lineRule="auto"/>
      </w:pPr>
      <w:r>
        <w:separator/>
      </w:r>
    </w:p>
  </w:endnote>
  <w:endnote w:type="continuationSeparator" w:id="0">
    <w:p w14:paraId="063741CD" w14:textId="77777777" w:rsidR="00B22807" w:rsidRDefault="00B22807" w:rsidP="00A5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B59DF" w14:textId="77777777" w:rsidR="00B22807" w:rsidRDefault="00B22807" w:rsidP="00A50DCD">
      <w:pPr>
        <w:spacing w:after="0" w:line="240" w:lineRule="auto"/>
      </w:pPr>
      <w:r>
        <w:separator/>
      </w:r>
    </w:p>
  </w:footnote>
  <w:footnote w:type="continuationSeparator" w:id="0">
    <w:p w14:paraId="028443B4" w14:textId="77777777" w:rsidR="00B22807" w:rsidRDefault="00B22807" w:rsidP="00A5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41E9" w14:textId="44A6BD6E" w:rsidR="00DE7D77" w:rsidRDefault="00CD355D" w:rsidP="00A50DCD">
    <w:pPr>
      <w:pStyle w:val="Header"/>
      <w:jc w:val="right"/>
    </w:pPr>
    <w:r>
      <w:rPr>
        <w:noProof/>
        <w:lang w:eastAsia="en-GB"/>
      </w:rPr>
      <w:drawing>
        <wp:anchor distT="0" distB="0" distL="114300" distR="114300" simplePos="0" relativeHeight="251661312"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9264" behindDoc="1" locked="0" layoutInCell="1" allowOverlap="1" wp14:anchorId="31E5C5AC" wp14:editId="1D9938AC">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00F1EE7D" w14:textId="6DCC1AE6" w:rsidR="00855F56" w:rsidRDefault="001E2B82" w:rsidP="004453F9">
                          <w:pPr>
                            <w:pStyle w:val="BodyText"/>
                            <w:jc w:val="both"/>
                            <w:rPr>
                              <w:b/>
                              <w:bCs/>
                              <w:sz w:val="32"/>
                              <w:szCs w:val="32"/>
                            </w:rPr>
                          </w:pPr>
                          <w:r>
                            <w:rPr>
                              <w:b/>
                              <w:bCs/>
                              <w:sz w:val="32"/>
                              <w:szCs w:val="32"/>
                            </w:rPr>
                            <w:t xml:space="preserve">Teacher of </w:t>
                          </w:r>
                          <w:r w:rsidR="009E387D">
                            <w:rPr>
                              <w:b/>
                              <w:bCs/>
                              <w:sz w:val="32"/>
                              <w:szCs w:val="32"/>
                            </w:rPr>
                            <w:t>Social Sciences</w:t>
                          </w: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7pt;margin-top:1.3pt;width:302.95pt;height:5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" fillcolor="white [3201]" stroked="f" strokeweight=".5pt">
              <v:textbox>
                <w:txbxContent>
                  <w:p w14:paraId="00F1EE7D" w14:textId="6DCC1AE6" w:rsidR="00855F56" w:rsidRDefault="001E2B82" w:rsidP="004453F9">
                    <w:pPr>
                      <w:pStyle w:val="BodyText"/>
                      <w:jc w:val="both"/>
                      <w:rPr>
                        <w:b/>
                        <w:bCs/>
                        <w:sz w:val="32"/>
                        <w:szCs w:val="32"/>
                      </w:rPr>
                    </w:pPr>
                    <w:r>
                      <w:rPr>
                        <w:b/>
                        <w:bCs/>
                        <w:sz w:val="32"/>
                        <w:szCs w:val="32"/>
                      </w:rPr>
                      <w:t xml:space="preserve">Teacher of </w:t>
                    </w:r>
                    <w:r w:rsidR="009E387D">
                      <w:rPr>
                        <w:b/>
                        <w:bCs/>
                        <w:sz w:val="32"/>
                        <w:szCs w:val="32"/>
                      </w:rPr>
                      <w:t>Social Sciences</w:t>
                    </w: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abstractNum w:abstractNumId="1" w15:restartNumberingAfterBreak="0">
    <w:nsid w:val="417C7C00"/>
    <w:multiLevelType w:val="hybridMultilevel"/>
    <w:tmpl w:val="C7E2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6113D"/>
    <w:multiLevelType w:val="hybridMultilevel"/>
    <w:tmpl w:val="0FC6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068730">
    <w:abstractNumId w:val="0"/>
  </w:num>
  <w:num w:numId="2" w16cid:durableId="931401229">
    <w:abstractNumId w:val="1"/>
  </w:num>
  <w:num w:numId="3" w16cid:durableId="172766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11"/>
    <w:rsid w:val="000564FF"/>
    <w:rsid w:val="00076241"/>
    <w:rsid w:val="000E2D04"/>
    <w:rsid w:val="00134200"/>
    <w:rsid w:val="0015435C"/>
    <w:rsid w:val="00196955"/>
    <w:rsid w:val="001A3C47"/>
    <w:rsid w:val="001B4D0B"/>
    <w:rsid w:val="001E0EC6"/>
    <w:rsid w:val="001E2B82"/>
    <w:rsid w:val="001E74D7"/>
    <w:rsid w:val="002239DF"/>
    <w:rsid w:val="003013BA"/>
    <w:rsid w:val="0034363E"/>
    <w:rsid w:val="00344A49"/>
    <w:rsid w:val="003A3C0A"/>
    <w:rsid w:val="003E1CF4"/>
    <w:rsid w:val="00412D80"/>
    <w:rsid w:val="0043135C"/>
    <w:rsid w:val="004453F9"/>
    <w:rsid w:val="004B18CF"/>
    <w:rsid w:val="004D1E71"/>
    <w:rsid w:val="00512667"/>
    <w:rsid w:val="00527E65"/>
    <w:rsid w:val="0058097D"/>
    <w:rsid w:val="005978E1"/>
    <w:rsid w:val="00631435"/>
    <w:rsid w:val="006636E5"/>
    <w:rsid w:val="00666FE6"/>
    <w:rsid w:val="006A2811"/>
    <w:rsid w:val="00784F01"/>
    <w:rsid w:val="007A6D74"/>
    <w:rsid w:val="0085578B"/>
    <w:rsid w:val="00855F56"/>
    <w:rsid w:val="008707AD"/>
    <w:rsid w:val="008A7A27"/>
    <w:rsid w:val="00914451"/>
    <w:rsid w:val="009605C0"/>
    <w:rsid w:val="00964D70"/>
    <w:rsid w:val="00993C5A"/>
    <w:rsid w:val="009B3037"/>
    <w:rsid w:val="009C6C1E"/>
    <w:rsid w:val="009E387D"/>
    <w:rsid w:val="00A50DCD"/>
    <w:rsid w:val="00A7458E"/>
    <w:rsid w:val="00A77DEA"/>
    <w:rsid w:val="00A91279"/>
    <w:rsid w:val="00AF5104"/>
    <w:rsid w:val="00AF568E"/>
    <w:rsid w:val="00AF7BB2"/>
    <w:rsid w:val="00B2191C"/>
    <w:rsid w:val="00B22807"/>
    <w:rsid w:val="00B37391"/>
    <w:rsid w:val="00B53398"/>
    <w:rsid w:val="00B56980"/>
    <w:rsid w:val="00B65BC9"/>
    <w:rsid w:val="00B83CF6"/>
    <w:rsid w:val="00BA0EE7"/>
    <w:rsid w:val="00BB3677"/>
    <w:rsid w:val="00BD6DF1"/>
    <w:rsid w:val="00BD7978"/>
    <w:rsid w:val="00C107B9"/>
    <w:rsid w:val="00C37D12"/>
    <w:rsid w:val="00C662F5"/>
    <w:rsid w:val="00C74EFF"/>
    <w:rsid w:val="00CD355D"/>
    <w:rsid w:val="00D35CDA"/>
    <w:rsid w:val="00D66A93"/>
    <w:rsid w:val="00D92000"/>
    <w:rsid w:val="00DB715F"/>
    <w:rsid w:val="00DE7D77"/>
    <w:rsid w:val="00E26B38"/>
    <w:rsid w:val="00E33EF0"/>
    <w:rsid w:val="00E63BF5"/>
    <w:rsid w:val="00E778FA"/>
    <w:rsid w:val="00EB7A9D"/>
    <w:rsid w:val="00EC2D6B"/>
    <w:rsid w:val="00EE071B"/>
    <w:rsid w:val="00EE0752"/>
    <w:rsid w:val="00EF4418"/>
    <w:rsid w:val="00F00B1C"/>
    <w:rsid w:val="00F15133"/>
    <w:rsid w:val="00F3581C"/>
    <w:rsid w:val="00F72F39"/>
    <w:rsid w:val="00F8679D"/>
    <w:rsid w:val="00F928D3"/>
    <w:rsid w:val="00FA3EDF"/>
    <w:rsid w:val="00FE0ACC"/>
    <w:rsid w:val="00FE1CBF"/>
    <w:rsid w:val="00FE75C8"/>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semiHidden/>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 w:id="17487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eshacademy.com/school/column-2/employment.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01AB-79F9-4CA3-9D17-FC873AE6E9D1}">
  <ds:schemaRefs>
    <ds:schemaRef ds:uri="http://schemas.microsoft.com/sharepoint/v3/contenttype/forms"/>
  </ds:schemaRefs>
</ds:datastoreItem>
</file>

<file path=customXml/itemProps2.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3.xml><?xml version="1.0" encoding="utf-8"?>
<ds:datastoreItem xmlns:ds="http://schemas.openxmlformats.org/officeDocument/2006/customXml" ds:itemID="{3C8A1650-2575-4710-A4EF-C8D6F3D9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d01f8ca0-c98d-4f0a-bb28-4e4ea4cfaf9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Sarah Chainey</cp:lastModifiedBy>
  <cp:revision>2</cp:revision>
  <cp:lastPrinted>2019-12-10T12:43:00Z</cp:lastPrinted>
  <dcterms:created xsi:type="dcterms:W3CDTF">2026-02-13T14:27:00Z</dcterms:created>
  <dcterms:modified xsi:type="dcterms:W3CDTF">2026-02-13T14:27:00Z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3022600</vt:r8>
  </property>
  <property fmtid="{D5CDD505-2E9C-101B-9397-08002B2CF9AE}" pid="4" name="MediaServiceImageTags">
    <vt:lpwstr/>
  </property>
</Properties>
</file>